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F0BAB" w14:textId="77777777" w:rsidR="00C57D51" w:rsidRPr="006E7E3E" w:rsidRDefault="00C57D51">
      <w:pPr>
        <w:pStyle w:val="Title"/>
        <w:rPr>
          <w:sz w:val="32"/>
          <w:szCs w:val="32"/>
          <w:lang w:val="bg-BG"/>
        </w:rPr>
      </w:pPr>
      <w:bookmarkStart w:id="0" w:name="_GoBack"/>
    </w:p>
    <w:p w14:paraId="73AF6C5F" w14:textId="77777777" w:rsidR="00C57D51" w:rsidRPr="006E7E3E" w:rsidRDefault="00A10B2B">
      <w:pPr>
        <w:pStyle w:val="Title"/>
        <w:jc w:val="center"/>
        <w:rPr>
          <w:sz w:val="32"/>
          <w:szCs w:val="32"/>
          <w:lang w:val="bg-BG"/>
        </w:rPr>
      </w:pPr>
      <w:r w:rsidRPr="006E7E3E">
        <w:rPr>
          <w:sz w:val="32"/>
          <w:szCs w:val="32"/>
          <w:lang w:val="bg-BG"/>
        </w:rPr>
        <w:t>НАСОКИ И ПРАВИЛА ЗА КАНДИДАТСТВАНЕ</w:t>
      </w:r>
      <w:r w:rsidRPr="006E7E3E">
        <w:rPr>
          <w:sz w:val="32"/>
          <w:szCs w:val="32"/>
          <w:lang w:val="bg-BG"/>
        </w:rPr>
        <w:br/>
        <w:t xml:space="preserve">за организиране на Летни лагери „Витоша на децата“ </w:t>
      </w:r>
      <w:r w:rsidRPr="006E7E3E">
        <w:rPr>
          <w:sz w:val="32"/>
          <w:szCs w:val="32"/>
          <w:lang w:val="bg-BG"/>
        </w:rPr>
        <w:br/>
        <w:t>на Столична община</w:t>
      </w:r>
    </w:p>
    <w:p w14:paraId="2BDD5CC4" w14:textId="77777777" w:rsidR="00C57D51" w:rsidRPr="006E7E3E" w:rsidRDefault="00A10B2B">
      <w:pPr>
        <w:pStyle w:val="Heading1"/>
        <w:rPr>
          <w:lang w:val="bg-BG"/>
        </w:rPr>
      </w:pPr>
      <w:r w:rsidRPr="006E7E3E">
        <w:rPr>
          <w:lang w:val="bg-BG"/>
        </w:rPr>
        <w:t>І. НАСОКИ ЗА КАНДИДАТСТВАНЕ</w:t>
      </w:r>
    </w:p>
    <w:p w14:paraId="663CA68A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Проектните предложения следва да бъдат представени чрез попълнен Формуляр за кандидатстване. Кандидатите трябва да се придържат стриктно към Формуляра и да попълнят всички параграфи, описвайки подробно как ще изпълнят целите на проекта, какви ще бъдат ползите от него и как проектът съответства на политиката на Столична община в сферата на физическото възпитание, природното възпитание и активния начин на живот на децата.</w:t>
      </w:r>
    </w:p>
    <w:p w14:paraId="59008753" w14:textId="77777777" w:rsidR="00C57D51" w:rsidRPr="006E7E3E" w:rsidRDefault="00A10B2B">
      <w:pPr>
        <w:jc w:val="both"/>
        <w:rPr>
          <w:lang w:val="bg-BG"/>
        </w:rPr>
      </w:pPr>
      <w:bookmarkStart w:id="1" w:name="_Hlk196812615"/>
      <w:r w:rsidRPr="006E7E3E">
        <w:rPr>
          <w:lang w:val="bg-BG"/>
        </w:rPr>
        <w:t>Дейностите по проектите следва да се придържат към целите на инициативата „Витоша на децата“, формулирани както следва:</w:t>
      </w:r>
    </w:p>
    <w:p w14:paraId="045450E0" w14:textId="77777777" w:rsidR="00C57D51" w:rsidRPr="006E7E3E" w:rsidRDefault="00A10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осигуряване на достъпни и структурирани занимания сред природата;</w:t>
      </w:r>
    </w:p>
    <w:p w14:paraId="31AF4D0F" w14:textId="77777777" w:rsidR="00C57D51" w:rsidRPr="006E7E3E" w:rsidRDefault="00A10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насърчаване на физическа активност, спорт и екологично образование;</w:t>
      </w:r>
    </w:p>
    <w:p w14:paraId="2D2C0E52" w14:textId="77777777" w:rsidR="00C57D51" w:rsidRPr="006E7E3E" w:rsidRDefault="00A10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равен достъп на всички деца, включително от социално уязвими групи;</w:t>
      </w:r>
    </w:p>
    <w:p w14:paraId="0E2E196A" w14:textId="77777777" w:rsidR="00C57D51" w:rsidRPr="006E7E3E" w:rsidRDefault="00A10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облекчаване на родителите по време на летните месеци чрез качествени дневни лагери.</w:t>
      </w:r>
    </w:p>
    <w:bookmarkEnd w:id="1"/>
    <w:p w14:paraId="19919EC6" w14:textId="77777777" w:rsidR="00C57D51" w:rsidRPr="006E7E3E" w:rsidRDefault="00A10B2B">
      <w:pPr>
        <w:jc w:val="both"/>
        <w:rPr>
          <w:b/>
          <w:sz w:val="22"/>
          <w:szCs w:val="22"/>
          <w:lang w:val="bg-BG"/>
        </w:rPr>
      </w:pPr>
      <w:r w:rsidRPr="006E7E3E">
        <w:rPr>
          <w:b/>
          <w:sz w:val="22"/>
          <w:szCs w:val="22"/>
          <w:lang w:val="bg-BG"/>
        </w:rPr>
        <w:t>При реализиране на проекти по програмно финансиране се насърчава:</w:t>
      </w:r>
    </w:p>
    <w:p w14:paraId="0284CC4E" w14:textId="77777777" w:rsidR="00C57D51" w:rsidRPr="006E7E3E" w:rsidRDefault="00A10B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проектът да съдържа елемент на иновативност и активно участие на децата в дейностите;</w:t>
      </w:r>
    </w:p>
    <w:p w14:paraId="3B9E6C8E" w14:textId="77777777" w:rsidR="00C57D51" w:rsidRPr="006E7E3E" w:rsidRDefault="00A10B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добре обоснована връзка между дейностите, възрастта и нуждите на целевата група;</w:t>
      </w:r>
    </w:p>
    <w:p w14:paraId="47B76179" w14:textId="77777777" w:rsidR="00C57D51" w:rsidRPr="006E7E3E" w:rsidRDefault="00A10B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ефективно партньорство между юридически лица и образователни институции на територията на Столична община;</w:t>
      </w:r>
    </w:p>
    <w:p w14:paraId="6123404A" w14:textId="77777777" w:rsidR="00C57D51" w:rsidRPr="006E7E3E" w:rsidRDefault="00A10B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включване на квалифицирани специалисти с опит в дейности на открито, включително в планинска среда;</w:t>
      </w:r>
    </w:p>
    <w:p w14:paraId="20662EDA" w14:textId="77777777" w:rsidR="00C57D51" w:rsidRPr="006E7E3E" w:rsidRDefault="00A10B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участие на доброволци, учители, родители и местната общност.</w:t>
      </w:r>
    </w:p>
    <w:p w14:paraId="0B201E1E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Кандидатите:</w:t>
      </w:r>
    </w:p>
    <w:p w14:paraId="6A300BDC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bookmarkStart w:id="2" w:name="_Hlk196812231"/>
      <w:r w:rsidRPr="006E7E3E">
        <w:rPr>
          <w:color w:val="000000"/>
          <w:lang w:val="bg-BG"/>
        </w:rPr>
        <w:t>Могат да са юридически лица с доказан с опит в работата с деца, включително в организиране на дейности на открито, в т.ч. при планински условия в задължително партньорство с училища на територията на Столична община</w:t>
      </w:r>
    </w:p>
    <w:p w14:paraId="5043E225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lastRenderedPageBreak/>
        <w:t>Могат да са Училища на територията на Столична община в партньорство с юридически лица с опит в работата с деца, включително в организиране на дейности на открито, в т.ч. при планински условия;</w:t>
      </w:r>
    </w:p>
    <w:p w14:paraId="57477C82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Може да е Дирекцията на Природен парк „Витоша“ в партньорство с училища на територията на Столична община.</w:t>
      </w:r>
    </w:p>
    <w:p w14:paraId="6C80639C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Трябва да не действат като посредници, а да са пряко отговорни за изпълнението на дейностите.</w:t>
      </w:r>
    </w:p>
    <w:p w14:paraId="147A5674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Могат да са кандидат или партньор по едно проектно предложение.</w:t>
      </w:r>
    </w:p>
    <w:p w14:paraId="34536081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Не трябва да са бенефициенти по други програми и инициативи на СО през периода юни-септември.</w:t>
      </w:r>
    </w:p>
    <w:p w14:paraId="7DAA0FD3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Целеви групи:</w:t>
      </w:r>
    </w:p>
    <w:p w14:paraId="002DFF20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деца на възраст от 7 до 12 години, като минимум 10% от местата са предназначени за социално уязвими деца.</w:t>
      </w:r>
    </w:p>
    <w:p w14:paraId="7FA130A2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проектното предложение трябва да обхване минимум 100 деца за целия период.</w:t>
      </w:r>
    </w:p>
    <w:p w14:paraId="65D3B807" w14:textId="77777777" w:rsidR="00C57D51" w:rsidRPr="006E7E3E" w:rsidRDefault="00A10B2B">
      <w:pPr>
        <w:jc w:val="both"/>
        <w:rPr>
          <w:lang w:val="bg-BG"/>
        </w:rPr>
      </w:pPr>
      <w:r w:rsidRPr="006E7E3E">
        <w:rPr>
          <w:b/>
          <w:lang w:val="bg-BG"/>
        </w:rPr>
        <w:t>Период на проектните дейности:</w:t>
      </w:r>
      <w:r w:rsidRPr="006E7E3E">
        <w:rPr>
          <w:lang w:val="bg-BG"/>
        </w:rPr>
        <w:t xml:space="preserve"> от юни до септември 2025 г.</w:t>
      </w:r>
    </w:p>
    <w:p w14:paraId="0647D277" w14:textId="77777777" w:rsidR="00C57D51" w:rsidRPr="006E7E3E" w:rsidRDefault="00A10B2B">
      <w:pPr>
        <w:jc w:val="both"/>
        <w:rPr>
          <w:b/>
          <w:lang w:val="bg-BG"/>
        </w:rPr>
      </w:pPr>
      <w:bookmarkStart w:id="3" w:name="_Hlk196812484"/>
      <w:bookmarkEnd w:id="2"/>
      <w:r w:rsidRPr="006E7E3E">
        <w:rPr>
          <w:b/>
          <w:lang w:val="bg-BG"/>
        </w:rPr>
        <w:t>Финансиране:</w:t>
      </w:r>
    </w:p>
    <w:p w14:paraId="0C61E49E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Максимален размер на финансиране на едно проектно предложение: до 16 000 лв.</w:t>
      </w:r>
    </w:p>
    <w:p w14:paraId="228C3C85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90% от местата се финансират от бюджета на програмата, допуска се доплащане до 120 лв. на дете от страна на родител/настойник;</w:t>
      </w:r>
    </w:p>
    <w:p w14:paraId="78FA79DA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10% от местата са безплатни – за деца в социален риск.</w:t>
      </w:r>
    </w:p>
    <w:bookmarkEnd w:id="3"/>
    <w:p w14:paraId="3C21A199" w14:textId="77777777" w:rsidR="00C57D51" w:rsidRPr="006E7E3E" w:rsidRDefault="00A10B2B">
      <w:pPr>
        <w:jc w:val="both"/>
        <w:rPr>
          <w:lang w:val="bg-BG"/>
        </w:rPr>
      </w:pPr>
      <w:r w:rsidRPr="006E7E3E">
        <w:rPr>
          <w:b/>
          <w:lang w:val="bg-BG"/>
        </w:rPr>
        <w:t>Важно!</w:t>
      </w:r>
      <w:r w:rsidRPr="006E7E3E">
        <w:rPr>
          <w:lang w:val="bg-BG"/>
        </w:rPr>
        <w:t xml:space="preserve"> Изпълнителят на проекта задължително сключва планинска застраховка за всеки участник в летния лагер за своя сметка. </w:t>
      </w:r>
    </w:p>
    <w:p w14:paraId="714138BB" w14:textId="77777777" w:rsidR="00C57D51" w:rsidRPr="006E7E3E" w:rsidRDefault="00A10B2B">
      <w:pPr>
        <w:pStyle w:val="Heading1"/>
        <w:jc w:val="both"/>
        <w:rPr>
          <w:lang w:val="bg-BG"/>
        </w:rPr>
      </w:pPr>
      <w:r w:rsidRPr="006E7E3E">
        <w:rPr>
          <w:lang w:val="bg-BG"/>
        </w:rPr>
        <w:t>ІІ. ИЗИСКВАНИЯ ЗА СЪПЪТСТВАЩИ ДОКУМЕНТИ</w:t>
      </w:r>
    </w:p>
    <w:p w14:paraId="6E2A4914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Кандидатстващите организации трябва да представят следния пакет от документи:</w:t>
      </w:r>
    </w:p>
    <w:p w14:paraId="67427AE0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Заявление до зам.-кмета на СО, координатор на Програмата;</w:t>
      </w:r>
    </w:p>
    <w:p w14:paraId="7C70D1E4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Попълнен формуляр за кандидатстване;</w:t>
      </w:r>
    </w:p>
    <w:p w14:paraId="0F3114F6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Декларация за липса на конфликт на интереси;</w:t>
      </w:r>
    </w:p>
    <w:p w14:paraId="68FDE207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Извадка за актуално състояние от регистъра;</w:t>
      </w:r>
    </w:p>
    <w:p w14:paraId="6ED51D60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Удостоверение по чл. 87, ал. 6 от ДОПК;</w:t>
      </w:r>
    </w:p>
    <w:p w14:paraId="00D4EF3A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Служебна бележка от банка за активна сметка;</w:t>
      </w:r>
    </w:p>
    <w:p w14:paraId="03EA4796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lang w:val="bg-BG"/>
        </w:rPr>
      </w:pPr>
      <w:r w:rsidRPr="006E7E3E">
        <w:rPr>
          <w:color w:val="000000"/>
          <w:lang w:val="bg-BG"/>
        </w:rPr>
        <w:lastRenderedPageBreak/>
        <w:t>Придружително писмо от партньор;</w:t>
      </w:r>
    </w:p>
    <w:p w14:paraId="4DC8EBDB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Декларация, че нито училището партньор, нито юридическото лице участват по други програми на СО в същия период.</w:t>
      </w:r>
    </w:p>
    <w:p w14:paraId="300D15E5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За училищата:</w:t>
      </w:r>
    </w:p>
    <w:p w14:paraId="010DCAE9" w14:textId="77777777" w:rsidR="00C57D51" w:rsidRPr="006E7E3E" w:rsidRDefault="00A10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Формуляр за кандидатстване и заявление (подписани от директора);</w:t>
      </w:r>
    </w:p>
    <w:p w14:paraId="092E0286" w14:textId="77777777" w:rsidR="00C57D51" w:rsidRPr="006E7E3E" w:rsidRDefault="00A10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Декларация за липса на конфликт на интереси;</w:t>
      </w:r>
    </w:p>
    <w:p w14:paraId="452372CC" w14:textId="77777777" w:rsidR="00C57D51" w:rsidRPr="006E7E3E" w:rsidRDefault="00A10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Служебна бележка от банка за актуалността на сметката;</w:t>
      </w:r>
    </w:p>
    <w:p w14:paraId="7BF7D037" w14:textId="77777777" w:rsidR="00C57D51" w:rsidRPr="006E7E3E" w:rsidRDefault="00A10B2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Писмо за партньорство, придружено с извадка от регистър, удостоверения по чл. 87, ал. 6 от ДОПК и др.</w:t>
      </w:r>
    </w:p>
    <w:p w14:paraId="6CFBB6E1" w14:textId="77777777" w:rsidR="00C57D51" w:rsidRPr="006E7E3E" w:rsidRDefault="00A10B2B">
      <w:pPr>
        <w:pStyle w:val="Heading1"/>
        <w:jc w:val="both"/>
        <w:rPr>
          <w:lang w:val="bg-BG"/>
        </w:rPr>
      </w:pPr>
      <w:r w:rsidRPr="006E7E3E">
        <w:rPr>
          <w:lang w:val="bg-BG"/>
        </w:rPr>
        <w:t>ІІІ. ИНФОРМАЦИЯ ПРИ КАНДИДАТСТВАНЕ</w:t>
      </w:r>
    </w:p>
    <w:p w14:paraId="0FA3BAF8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Кандидатът попълва формуляр за кандидатстване. Формулярът съдържа следните задължителни раздели:</w:t>
      </w:r>
    </w:p>
    <w:p w14:paraId="17487EDC" w14:textId="77777777" w:rsidR="00C57D51" w:rsidRPr="006E7E3E" w:rsidRDefault="00A10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Обща информация;</w:t>
      </w:r>
    </w:p>
    <w:p w14:paraId="53376B54" w14:textId="77777777" w:rsidR="00C57D51" w:rsidRPr="006E7E3E" w:rsidRDefault="00A10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Резюме на проекта – „какво, къде, с кого, кога и защо“;</w:t>
      </w:r>
    </w:p>
    <w:p w14:paraId="101D5235" w14:textId="77777777" w:rsidR="00C57D51" w:rsidRPr="006E7E3E" w:rsidRDefault="00A10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 xml:space="preserve">Обосновка и цели </w:t>
      </w:r>
    </w:p>
    <w:p w14:paraId="4FE762D1" w14:textId="77777777" w:rsidR="00C57D51" w:rsidRPr="006E7E3E" w:rsidRDefault="00A10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 xml:space="preserve">Целева група и брой участници </w:t>
      </w:r>
    </w:p>
    <w:p w14:paraId="7AC6C22A" w14:textId="77777777" w:rsidR="00C57D51" w:rsidRPr="006E7E3E" w:rsidRDefault="00A10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Подробно описание на дейностите и график;</w:t>
      </w:r>
    </w:p>
    <w:p w14:paraId="3613C815" w14:textId="77777777" w:rsidR="00C57D51" w:rsidRPr="006E7E3E" w:rsidRDefault="00A10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Очаквани резултати и ефект от реализирането;</w:t>
      </w:r>
    </w:p>
    <w:p w14:paraId="2FEFAD2A" w14:textId="77777777" w:rsidR="00C57D51" w:rsidRPr="006E7E3E" w:rsidRDefault="00A10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Бюджет (разходи, финансиране, съфинансиране);</w:t>
      </w:r>
    </w:p>
    <w:p w14:paraId="18D2EE71" w14:textId="77777777" w:rsidR="00C57D51" w:rsidRPr="006E7E3E" w:rsidRDefault="00A10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Публичност и устойчивост – как ще се популяризира и продължи.</w:t>
      </w:r>
    </w:p>
    <w:p w14:paraId="6F1211C8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Допустими дейности по програмата „Витоша на децата“:</w:t>
      </w:r>
    </w:p>
    <w:p w14:paraId="2341105B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Разработване на цялостна програма за дневен лагер</w:t>
      </w:r>
    </w:p>
    <w:p w14:paraId="121D3FB7" w14:textId="77777777" w:rsidR="00C57D51" w:rsidRPr="006E7E3E" w:rsidRDefault="00A10B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  <w:r w:rsidRPr="006E7E3E">
        <w:rPr>
          <w:color w:val="000000"/>
          <w:lang w:val="bg-BG"/>
        </w:rPr>
        <w:t>Планиране на дневен график, съобразен с възрастовите особености на децата – редуване на физическа активност, творчески занимания, време за почивка, хидратация и хранене. Включване на дейности в Природен парк „Витоша“.</w:t>
      </w:r>
    </w:p>
    <w:p w14:paraId="0721FBFE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Образователни дейности на открито и екологично възпитание</w:t>
      </w:r>
    </w:p>
    <w:p w14:paraId="3DCCEEB4" w14:textId="77777777" w:rsidR="00C57D51" w:rsidRPr="006E7E3E" w:rsidRDefault="00A10B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  <w:r w:rsidRPr="006E7E3E">
        <w:rPr>
          <w:color w:val="000000"/>
          <w:lang w:val="bg-BG"/>
        </w:rPr>
        <w:t>Организиране на тематични работилници и занимания, свързани с опазването на природата, планинска безопасност, ориентиране, познания за флора и фауна на Витоша.</w:t>
      </w:r>
    </w:p>
    <w:p w14:paraId="79EE4867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Физически активности и спортни игри на открито</w:t>
      </w:r>
    </w:p>
    <w:p w14:paraId="455C8F87" w14:textId="77777777" w:rsidR="00C57D51" w:rsidRPr="006E7E3E" w:rsidRDefault="00A10B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  <w:r w:rsidRPr="006E7E3E">
        <w:rPr>
          <w:color w:val="000000"/>
          <w:lang w:val="bg-BG"/>
        </w:rPr>
        <w:t>Провеждане на занимания като спортни игри, планински преходи, отборни игри, йога и други двигателни активности. Участие на квалифицирани треньори и водачи.</w:t>
      </w:r>
    </w:p>
    <w:p w14:paraId="0AFB0E7B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Културно-исторически посещения и занимания</w:t>
      </w:r>
    </w:p>
    <w:p w14:paraId="5C672F64" w14:textId="77777777" w:rsidR="00C57D51" w:rsidRPr="006E7E3E" w:rsidRDefault="00A10B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  <w:r w:rsidRPr="006E7E3E">
        <w:rPr>
          <w:color w:val="000000"/>
          <w:lang w:val="bg-BG"/>
        </w:rPr>
        <w:lastRenderedPageBreak/>
        <w:t>Организиране на образователни излети до музеи, исторически или природни забележителности в природния парк и в подножието на Витоша (Боянска църква, Драгалевски манастир, Музей на мечката и др.).</w:t>
      </w:r>
    </w:p>
    <w:p w14:paraId="7D91FDB2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Творчески работилници</w:t>
      </w:r>
    </w:p>
    <w:p w14:paraId="64BE84DB" w14:textId="77777777" w:rsidR="00C57D51" w:rsidRPr="006E7E3E" w:rsidRDefault="00A10B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  <w:r w:rsidRPr="006E7E3E">
        <w:rPr>
          <w:color w:val="000000"/>
          <w:lang w:val="bg-BG"/>
        </w:rPr>
        <w:t>Изкуства, занаяти, музика, танци и други форми на творческа изява, които развиват фината моторика, емоционалната интелигентност и креативността на децата.</w:t>
      </w:r>
    </w:p>
    <w:p w14:paraId="7BFBB4AD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Включване на доброволци, родители и общността</w:t>
      </w:r>
    </w:p>
    <w:p w14:paraId="024F3901" w14:textId="77777777" w:rsidR="00C57D51" w:rsidRPr="006E7E3E" w:rsidRDefault="00A10B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  <w:r w:rsidRPr="006E7E3E">
        <w:rPr>
          <w:color w:val="000000"/>
          <w:lang w:val="bg-BG"/>
        </w:rPr>
        <w:t>Ангажиране на учители, родители, доброволци и местни експерти в провеждането на лагера с цел създаване на чувство за принадлежност и съвместност.</w:t>
      </w:r>
    </w:p>
    <w:p w14:paraId="344A7B0F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Работа с уязвими групи</w:t>
      </w:r>
    </w:p>
    <w:p w14:paraId="285FC1EC" w14:textId="77777777" w:rsidR="00C57D51" w:rsidRPr="006E7E3E" w:rsidRDefault="00A10B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  <w:r w:rsidRPr="006E7E3E">
        <w:rPr>
          <w:color w:val="000000"/>
          <w:lang w:val="bg-BG"/>
        </w:rPr>
        <w:t>Разработване на дейности с подходяща адаптация за деца в социален риск и деца със специални образователни потребности. Осигуряване на подкрепяща среда и индивидуален подход.</w:t>
      </w:r>
    </w:p>
    <w:p w14:paraId="7C9F528C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Вътрешен мониторинг на проекта (задължителна дейност)</w:t>
      </w:r>
      <w:r w:rsidRPr="006E7E3E">
        <w:rPr>
          <w:color w:val="000000"/>
          <w:lang w:val="bg-BG"/>
        </w:rPr>
        <w:br/>
        <w:t>Проследяване на участието, ангажираността и удовлетвореността на децата и родителите чрез анкети, интервюта, снимков и видео материал. Събиране на обратна връзка от партньори и екипа.</w:t>
      </w:r>
    </w:p>
    <w:p w14:paraId="072EC092" w14:textId="77777777" w:rsidR="00C57D51" w:rsidRPr="006E7E3E" w:rsidRDefault="00A10B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Публичност и визуална идентичност на проекта (задължителна дейност)</w:t>
      </w:r>
      <w:r w:rsidRPr="006E7E3E">
        <w:rPr>
          <w:color w:val="000000"/>
          <w:lang w:val="bg-BG"/>
        </w:rPr>
        <w:br/>
        <w:t>Осигуряване на визуално присъствие на проекта чрез герба на Столична община и надпис: „Проектът се реализира с подкрепата на Летни лагери „Витоша на децата“ на Столична община“. Публичност чрез социални мрежи, медии, и устойчиви рекламни материали (тениски, флагчета, винили и др.).</w:t>
      </w:r>
    </w:p>
    <w:p w14:paraId="279E5052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График за изпълнение на дейностите</w:t>
      </w:r>
    </w:p>
    <w:p w14:paraId="7F7C24DD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 xml:space="preserve">В описанието трябва ясно да се посочи: </w:t>
      </w:r>
    </w:p>
    <w:p w14:paraId="589F32A3" w14:textId="77777777" w:rsidR="00C57D51" w:rsidRPr="006E7E3E" w:rsidRDefault="00A10B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кога и къде ще се реализират отделните дейности;</w:t>
      </w:r>
    </w:p>
    <w:p w14:paraId="6E6676E5" w14:textId="77777777" w:rsidR="00C57D51" w:rsidRPr="006E7E3E" w:rsidRDefault="00A10B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продължителността на лагера;</w:t>
      </w:r>
    </w:p>
    <w:p w14:paraId="6BEC2DAB" w14:textId="77777777" w:rsidR="00C57D51" w:rsidRPr="006E7E3E" w:rsidRDefault="00A10B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кои дейности се провеждат ежедневно и кои – в определени дни от седмицата;</w:t>
      </w:r>
    </w:p>
    <w:p w14:paraId="5EA0EA56" w14:textId="77777777" w:rsidR="00C57D51" w:rsidRPr="006E7E3E" w:rsidRDefault="00A10B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 xml:space="preserve">как е </w:t>
      </w:r>
      <w:r w:rsidRPr="006E7E3E">
        <w:rPr>
          <w:lang w:val="bg-BG"/>
        </w:rPr>
        <w:t>осигурена</w:t>
      </w:r>
      <w:r w:rsidRPr="006E7E3E">
        <w:rPr>
          <w:color w:val="000000"/>
          <w:lang w:val="bg-BG"/>
        </w:rPr>
        <w:t xml:space="preserve"> логистиката (транспорт, храна, осигуровки, медицинска грижа и др.).</w:t>
      </w:r>
    </w:p>
    <w:p w14:paraId="5E4AD0C3" w14:textId="77777777" w:rsidR="00C57D51" w:rsidRPr="006E7E3E" w:rsidRDefault="00C57D51">
      <w:pPr>
        <w:jc w:val="both"/>
        <w:rPr>
          <w:lang w:val="bg-BG"/>
        </w:rPr>
      </w:pPr>
    </w:p>
    <w:p w14:paraId="7737BBC7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Изпълнение на дейностите</w:t>
      </w:r>
    </w:p>
    <w:p w14:paraId="302BB38F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lastRenderedPageBreak/>
        <w:t>Трябва ясно да се посочи кой отговаря за планиране, организация и реализация на конкретните дейности, както и кой извършва съответните разходи по тях.</w:t>
      </w:r>
    </w:p>
    <w:p w14:paraId="17944EF1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Критерии за допустими разходи: разходи, които се признават при отпускане на финансиране по настоящата обява за програмно финансиране – преки и непреки разходи</w:t>
      </w:r>
    </w:p>
    <w:p w14:paraId="2FA52CCC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Общи изисквания за разходите – преки и непреки</w:t>
      </w:r>
    </w:p>
    <w:p w14:paraId="6EB45F41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За да бъдат допустими разходите трябва да отговарят едновременно на следните условия:</w:t>
      </w:r>
    </w:p>
    <w:p w14:paraId="18B735F4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lang w:val="bg-BG"/>
        </w:rPr>
      </w:pPr>
      <w:r w:rsidRPr="006E7E3E">
        <w:rPr>
          <w:color w:val="000000"/>
          <w:lang w:val="bg-BG"/>
        </w:rPr>
        <w:t>да са законосъобразни;</w:t>
      </w:r>
    </w:p>
    <w:p w14:paraId="479D9680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lang w:val="bg-BG"/>
        </w:rPr>
      </w:pPr>
      <w:r w:rsidRPr="006E7E3E">
        <w:rPr>
          <w:color w:val="000000"/>
          <w:lang w:val="bg-BG"/>
        </w:rPr>
        <w:t>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законодателство;</w:t>
      </w:r>
    </w:p>
    <w:p w14:paraId="03A38392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lang w:val="bg-BG"/>
        </w:rPr>
      </w:pPr>
      <w:r w:rsidRPr="006E7E3E">
        <w:rPr>
          <w:color w:val="000000"/>
          <w:lang w:val="bg-BG"/>
        </w:rPr>
        <w:t>да отговарят на финансовите ограничения посочени в Насоките.</w:t>
      </w:r>
    </w:p>
    <w:p w14:paraId="32FB2E10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Допустими разходи:</w:t>
      </w:r>
    </w:p>
    <w:p w14:paraId="6922F43A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Преки над 60%</w:t>
      </w:r>
    </w:p>
    <w:p w14:paraId="7D003BCB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lang w:val="bg-BG"/>
        </w:rPr>
      </w:pPr>
      <w:r w:rsidRPr="006E7E3E">
        <w:rPr>
          <w:color w:val="000000"/>
          <w:lang w:val="bg-BG"/>
        </w:rPr>
        <w:t>средства и консумативи за преките участници, като например -  екипировка за децата /тениски, шапки и др./ сандвичи, сокове, минерална вода и др.;</w:t>
      </w:r>
    </w:p>
    <w:p w14:paraId="0D02DC13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lang w:val="bg-BG"/>
        </w:rPr>
      </w:pPr>
      <w:r w:rsidRPr="006E7E3E">
        <w:rPr>
          <w:color w:val="000000"/>
          <w:lang w:val="bg-BG"/>
        </w:rPr>
        <w:t>транспорт за преките участници в проекта;</w:t>
      </w:r>
    </w:p>
    <w:p w14:paraId="41C18C29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lang w:val="bg-BG"/>
        </w:rPr>
      </w:pPr>
      <w:r w:rsidRPr="006E7E3E">
        <w:rPr>
          <w:color w:val="000000"/>
          <w:lang w:val="bg-BG"/>
        </w:rPr>
        <w:t>застрахователна полица, свързана с дейностите по проекта – транспортна, планинска, по вид спорт за участие  в спортни събития;</w:t>
      </w:r>
    </w:p>
    <w:p w14:paraId="392AD0C5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jc w:val="both"/>
        <w:rPr>
          <w:lang w:val="bg-BG"/>
        </w:rPr>
      </w:pPr>
      <w:r w:rsidRPr="006E7E3E">
        <w:rPr>
          <w:color w:val="000000"/>
          <w:lang w:val="bg-BG"/>
        </w:rPr>
        <w:t>билети за преките участници в проекта – посещение на музей и др. институции.</w:t>
      </w:r>
      <w:r w:rsidRPr="006E7E3E">
        <w:rPr>
          <w:color w:val="000000"/>
          <w:lang w:val="bg-BG"/>
        </w:rPr>
        <w:tab/>
      </w:r>
    </w:p>
    <w:p w14:paraId="3A97E12B" w14:textId="77777777" w:rsidR="00C57D51" w:rsidRPr="006E7E3E" w:rsidRDefault="00A10B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jc w:val="both"/>
        <w:rPr>
          <w:lang w:val="bg-BG"/>
        </w:rPr>
      </w:pPr>
      <w:r w:rsidRPr="006E7E3E">
        <w:rPr>
          <w:lang w:val="bg-BG"/>
        </w:rPr>
        <w:t>Грамоти за успешно преминат лагер или бандана/ шапка с лого на програмата</w:t>
      </w:r>
    </w:p>
    <w:p w14:paraId="6FA61306" w14:textId="77777777" w:rsidR="00C57D51" w:rsidRPr="006E7E3E" w:rsidRDefault="00A10B2B">
      <w:pPr>
        <w:jc w:val="both"/>
        <w:rPr>
          <w:color w:val="000000"/>
          <w:lang w:val="bg-BG"/>
        </w:rPr>
      </w:pPr>
      <w:r w:rsidRPr="006E7E3E">
        <w:rPr>
          <w:lang w:val="bg-BG"/>
        </w:rPr>
        <w:t>Непреки до 40%</w:t>
      </w:r>
    </w:p>
    <w:p w14:paraId="5134B64E" w14:textId="77777777" w:rsidR="00C57D51" w:rsidRPr="006E7E3E" w:rsidRDefault="00A10B2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други консумативи и материали, необходими за реализиране на дейността.</w:t>
      </w:r>
    </w:p>
    <w:p w14:paraId="6E42A22E" w14:textId="77777777" w:rsidR="00C57D51" w:rsidRPr="006E7E3E" w:rsidRDefault="00A10B2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lang w:val="bg-BG"/>
        </w:rPr>
        <w:t>материали и средства за съотените активности - спортни пособия, бои, материали за work ателиетата, карти, книжки за набавяне на печати във връзка с включването във всички предложени дейности - спортни, образователни, културни и т.н.</w:t>
      </w:r>
    </w:p>
    <w:p w14:paraId="0D54A25E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lastRenderedPageBreak/>
        <w:t>Не се подкрепят проектни предложения, целящи финансиране на дейности:</w:t>
      </w:r>
    </w:p>
    <w:p w14:paraId="02E5BA1B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банкови такси и разходи, свързани с гаранции и други подобни на  тях;</w:t>
      </w:r>
    </w:p>
    <w:p w14:paraId="42215C00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разходи, направени преди одобрението на проекта;</w:t>
      </w:r>
    </w:p>
    <w:p w14:paraId="14D33CB4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други разходи, несвързани пряко с целта на проекта;</w:t>
      </w:r>
    </w:p>
    <w:p w14:paraId="06CC8190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разходи, свързани с оборудване, обзавеждане и придобиване на дълготрайни материални активи;</w:t>
      </w:r>
    </w:p>
    <w:p w14:paraId="6E931F51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закупуване на земя и сгради, инфраструктура;</w:t>
      </w:r>
    </w:p>
    <w:p w14:paraId="1D25547F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ремонтни дейности;</w:t>
      </w:r>
    </w:p>
    <w:p w14:paraId="3C275F88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глоби, финансови санкции и разходи за разрешаване на спорове;</w:t>
      </w:r>
    </w:p>
    <w:p w14:paraId="4D88C49D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разходи за консултантски услуги свързани с подготовката и/или попълването на документите за кандидатстване;</w:t>
      </w:r>
    </w:p>
    <w:p w14:paraId="12EB9D92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разходи финансирани по друг проект, програма или каквато и да е друга финансова схема произлизаща от националния бюджет, бюджета на ЕС или друга донорска програма на Столична община;</w:t>
      </w:r>
    </w:p>
    <w:p w14:paraId="08BDCC12" w14:textId="4B5BA32E" w:rsidR="00C57D51" w:rsidRPr="006E7E3E" w:rsidRDefault="00A10B2B" w:rsidP="00482E8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разходи, които не са изрично споменати в настоящите Насоки;</w:t>
      </w:r>
    </w:p>
    <w:p w14:paraId="744A7B91" w14:textId="77777777" w:rsidR="00C57D51" w:rsidRPr="006E7E3E" w:rsidRDefault="00A10B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lang w:val="bg-BG"/>
        </w:rPr>
      </w:pPr>
      <w:r w:rsidRPr="006E7E3E">
        <w:rPr>
          <w:color w:val="000000"/>
          <w:lang w:val="bg-BG"/>
        </w:rPr>
        <w:t>разходи, свързани с административно обслужване и консумативи на изпълняващата дейността организация – като например: тонер-касети, разходи за телефонни услуги и др.</w:t>
      </w:r>
    </w:p>
    <w:p w14:paraId="6873703F" w14:textId="77777777" w:rsidR="00C57D51" w:rsidRPr="006E7E3E" w:rsidRDefault="00A10B2B">
      <w:pPr>
        <w:pStyle w:val="Heading1"/>
        <w:jc w:val="both"/>
        <w:rPr>
          <w:lang w:val="bg-BG"/>
        </w:rPr>
      </w:pPr>
      <w:r w:rsidRPr="006E7E3E">
        <w:rPr>
          <w:lang w:val="bg-BG"/>
        </w:rPr>
        <w:t>ІV. ОЦЕНЯВАНЕ НА ПРОЕКТНИТЕ ПРЕДЛОЖЕНИЯ</w:t>
      </w:r>
    </w:p>
    <w:p w14:paraId="2FA6036B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 xml:space="preserve">Оценяването на проектните предложения по програмата „Витоша на децата“ се извършва от оценителна комисия, включваща експерти от дирекция „Образование“ и представители на Столичния общински съвет. </w:t>
      </w:r>
    </w:p>
    <w:p w14:paraId="0EDDF43E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Проектните предложения се оценяват в следните етапи:</w:t>
      </w:r>
    </w:p>
    <w:p w14:paraId="73EFB63A" w14:textId="77777777" w:rsidR="00C57D51" w:rsidRPr="006E7E3E" w:rsidRDefault="00A10B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lang w:val="bg-BG"/>
        </w:rPr>
      </w:pPr>
      <w:r w:rsidRPr="006E7E3E">
        <w:rPr>
          <w:color w:val="000000"/>
          <w:lang w:val="bg-BG"/>
        </w:rPr>
        <w:t xml:space="preserve">Административна проверка </w:t>
      </w:r>
    </w:p>
    <w:p w14:paraId="4E2EC8C1" w14:textId="77777777" w:rsidR="00C57D51" w:rsidRPr="006E7E3E" w:rsidRDefault="00A10B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  <w:r w:rsidRPr="006E7E3E">
        <w:rPr>
          <w:color w:val="000000"/>
          <w:lang w:val="bg-BG"/>
        </w:rPr>
        <w:t>Проверява се:</w:t>
      </w:r>
    </w:p>
    <w:p w14:paraId="73D86D5A" w14:textId="77777777" w:rsidR="00C57D51" w:rsidRPr="006E7E3E" w:rsidRDefault="00C57D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lang w:val="bg-BG"/>
        </w:rPr>
      </w:pPr>
    </w:p>
    <w:p w14:paraId="50E7FC59" w14:textId="77777777" w:rsidR="00C57D51" w:rsidRPr="006E7E3E" w:rsidRDefault="00A10B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lang w:val="bg-BG"/>
        </w:rPr>
      </w:pPr>
      <w:r w:rsidRPr="006E7E3E">
        <w:rPr>
          <w:color w:val="000000"/>
          <w:lang w:val="bg-BG"/>
        </w:rPr>
        <w:t>Попълнен ли е коректно формулярът за кандидатстване;</w:t>
      </w:r>
    </w:p>
    <w:p w14:paraId="6EC8B679" w14:textId="77777777" w:rsidR="00C57D51" w:rsidRPr="006E7E3E" w:rsidRDefault="00A10B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lang w:val="bg-BG"/>
        </w:rPr>
      </w:pPr>
      <w:r w:rsidRPr="006E7E3E">
        <w:rPr>
          <w:color w:val="000000"/>
          <w:lang w:val="bg-BG"/>
        </w:rPr>
        <w:t>Представени ли са всички съпътстващи документи;</w:t>
      </w:r>
    </w:p>
    <w:p w14:paraId="250D3F7D" w14:textId="77777777" w:rsidR="00C57D51" w:rsidRPr="006E7E3E" w:rsidRDefault="00A10B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lang w:val="bg-BG"/>
        </w:rPr>
      </w:pPr>
      <w:r w:rsidRPr="006E7E3E">
        <w:rPr>
          <w:color w:val="000000"/>
          <w:lang w:val="bg-BG"/>
        </w:rPr>
        <w:t>Спазени ли са изискванията за допустимост на кандидата и партньора;</w:t>
      </w:r>
    </w:p>
    <w:p w14:paraId="084957E2" w14:textId="77777777" w:rsidR="00C57D51" w:rsidRPr="006E7E3E" w:rsidRDefault="00A10B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lang w:val="bg-BG"/>
        </w:rPr>
      </w:pPr>
      <w:r w:rsidRPr="006E7E3E">
        <w:rPr>
          <w:color w:val="000000"/>
          <w:lang w:val="bg-BG"/>
        </w:rPr>
        <w:t>Подадено ли е предложението в срок;</w:t>
      </w:r>
    </w:p>
    <w:p w14:paraId="00BD38CB" w14:textId="77777777" w:rsidR="00C57D51" w:rsidRPr="006E7E3E" w:rsidRDefault="00A10B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425"/>
        <w:jc w:val="both"/>
        <w:rPr>
          <w:lang w:val="bg-BG"/>
        </w:rPr>
      </w:pPr>
      <w:r w:rsidRPr="006E7E3E">
        <w:rPr>
          <w:color w:val="000000"/>
          <w:lang w:val="bg-BG"/>
        </w:rPr>
        <w:t>Не участва ли училището партньор или НПО в други програми на Столична община за същия период (удостоверява се с декларация, при установено участие проектът се отхвърля);</w:t>
      </w:r>
    </w:p>
    <w:p w14:paraId="7638865B" w14:textId="77777777" w:rsidR="00C57D51" w:rsidRPr="006E7E3E" w:rsidRDefault="00A10B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lang w:val="bg-BG"/>
        </w:rPr>
      </w:pPr>
      <w:r w:rsidRPr="006E7E3E">
        <w:rPr>
          <w:color w:val="000000"/>
          <w:lang w:val="bg-BG"/>
        </w:rPr>
        <w:t>Организацията и партньора не участва повече от веднъж по различни предложения.</w:t>
      </w:r>
    </w:p>
    <w:p w14:paraId="71873D41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lastRenderedPageBreak/>
        <w:t>2. Съдържателна оценка – от комисия.</w:t>
      </w:r>
    </w:p>
    <w:p w14:paraId="6C45D714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Критерии за оценка:</w:t>
      </w:r>
    </w:p>
    <w:tbl>
      <w:tblPr>
        <w:tblStyle w:val="a"/>
        <w:tblW w:w="11481" w:type="dxa"/>
        <w:tblInd w:w="-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4814"/>
        <w:gridCol w:w="1792"/>
        <w:gridCol w:w="1005"/>
        <w:gridCol w:w="1635"/>
      </w:tblGrid>
      <w:tr w:rsidR="00C57D51" w:rsidRPr="006E7E3E" w14:paraId="58C6DC7F" w14:textId="77777777" w:rsidTr="006E7E3E">
        <w:trPr>
          <w:trHeight w:val="520"/>
        </w:trPr>
        <w:tc>
          <w:tcPr>
            <w:tcW w:w="2235" w:type="dxa"/>
          </w:tcPr>
          <w:p w14:paraId="4E590CD5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Критерий</w:t>
            </w:r>
          </w:p>
        </w:tc>
        <w:tc>
          <w:tcPr>
            <w:tcW w:w="4814" w:type="dxa"/>
          </w:tcPr>
          <w:p w14:paraId="494E16E1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Описание</w:t>
            </w:r>
          </w:p>
        </w:tc>
        <w:tc>
          <w:tcPr>
            <w:tcW w:w="1792" w:type="dxa"/>
          </w:tcPr>
          <w:p w14:paraId="53D084DD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Точки (0–5)</w:t>
            </w:r>
          </w:p>
        </w:tc>
        <w:tc>
          <w:tcPr>
            <w:tcW w:w="1005" w:type="dxa"/>
          </w:tcPr>
          <w:p w14:paraId="0185E4EF" w14:textId="77777777" w:rsidR="00C57D51" w:rsidRPr="006E7E3E" w:rsidRDefault="00A10B2B">
            <w:pPr>
              <w:jc w:val="both"/>
              <w:rPr>
                <w:b/>
                <w:lang w:val="bg-BG"/>
              </w:rPr>
            </w:pPr>
            <w:r w:rsidRPr="006E7E3E">
              <w:rPr>
                <w:b/>
                <w:lang w:val="bg-BG"/>
              </w:rPr>
              <w:t>Коефициент</w:t>
            </w:r>
          </w:p>
        </w:tc>
        <w:tc>
          <w:tcPr>
            <w:tcW w:w="1635" w:type="dxa"/>
          </w:tcPr>
          <w:p w14:paraId="08AC65B7" w14:textId="77777777" w:rsidR="00C57D51" w:rsidRPr="006E7E3E" w:rsidRDefault="00A10B2B">
            <w:pPr>
              <w:jc w:val="both"/>
              <w:rPr>
                <w:b/>
                <w:lang w:val="bg-BG"/>
              </w:rPr>
            </w:pPr>
            <w:r w:rsidRPr="006E7E3E">
              <w:rPr>
                <w:b/>
                <w:lang w:val="bg-BG"/>
              </w:rPr>
              <w:t>Макс.</w:t>
            </w:r>
          </w:p>
        </w:tc>
      </w:tr>
      <w:tr w:rsidR="00C57D51" w:rsidRPr="006E7E3E" w14:paraId="1CC9CA6A" w14:textId="77777777" w:rsidTr="006E7E3E">
        <w:trPr>
          <w:trHeight w:val="2600"/>
        </w:trPr>
        <w:tc>
          <w:tcPr>
            <w:tcW w:w="2235" w:type="dxa"/>
          </w:tcPr>
          <w:p w14:paraId="6005D042" w14:textId="77777777" w:rsidR="00C57D51" w:rsidRPr="006E7E3E" w:rsidRDefault="00A10B2B">
            <w:pPr>
              <w:jc w:val="both"/>
              <w:rPr>
                <w:b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1. Качество на програмата на лагера</w:t>
            </w:r>
          </w:p>
        </w:tc>
        <w:tc>
          <w:tcPr>
            <w:tcW w:w="4814" w:type="dxa"/>
          </w:tcPr>
          <w:p w14:paraId="5A136D82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Съдържанието на дневната програма е структурирано, разнообразно, балансира между спортни, образователни и природни дейности. Включени са занимания, развиващи физическа активност, екипност, познание за природата. Има грижа за безопасността и подход към различните възрасти.</w:t>
            </w:r>
          </w:p>
        </w:tc>
        <w:tc>
          <w:tcPr>
            <w:tcW w:w="1792" w:type="dxa"/>
          </w:tcPr>
          <w:p w14:paraId="365D05E5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0–5</w:t>
            </w:r>
          </w:p>
        </w:tc>
        <w:tc>
          <w:tcPr>
            <w:tcW w:w="1005" w:type="dxa"/>
          </w:tcPr>
          <w:p w14:paraId="29B7EAB9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×4</w:t>
            </w:r>
          </w:p>
        </w:tc>
        <w:tc>
          <w:tcPr>
            <w:tcW w:w="1635" w:type="dxa"/>
          </w:tcPr>
          <w:p w14:paraId="0FB48E75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20</w:t>
            </w:r>
          </w:p>
        </w:tc>
      </w:tr>
      <w:tr w:rsidR="00C57D51" w:rsidRPr="006E7E3E" w14:paraId="70A21432" w14:textId="77777777" w:rsidTr="006E7E3E">
        <w:trPr>
          <w:trHeight w:val="1560"/>
        </w:trPr>
        <w:tc>
          <w:tcPr>
            <w:tcW w:w="2235" w:type="dxa"/>
          </w:tcPr>
          <w:p w14:paraId="046708EC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2. Опит и капацитет на изпълнителския екип</w:t>
            </w:r>
          </w:p>
        </w:tc>
        <w:tc>
          <w:tcPr>
            <w:tcW w:w="4814" w:type="dxa"/>
          </w:tcPr>
          <w:p w14:paraId="7FCDF2FD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Представен е екип с доказан опит в работата с деца, включително в дейности сред природата и/или в планинска среда. Има посочени квалификации, роли, ясно разпределение на отговорности.</w:t>
            </w:r>
          </w:p>
        </w:tc>
        <w:tc>
          <w:tcPr>
            <w:tcW w:w="1792" w:type="dxa"/>
          </w:tcPr>
          <w:p w14:paraId="1AEFC907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0–5</w:t>
            </w:r>
          </w:p>
        </w:tc>
        <w:tc>
          <w:tcPr>
            <w:tcW w:w="1005" w:type="dxa"/>
          </w:tcPr>
          <w:p w14:paraId="7BFFC16B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×3</w:t>
            </w:r>
          </w:p>
        </w:tc>
        <w:tc>
          <w:tcPr>
            <w:tcW w:w="1635" w:type="dxa"/>
          </w:tcPr>
          <w:p w14:paraId="1DAC28B3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15</w:t>
            </w:r>
          </w:p>
        </w:tc>
      </w:tr>
      <w:tr w:rsidR="00C57D51" w:rsidRPr="006E7E3E" w14:paraId="206BD11B" w14:textId="77777777" w:rsidTr="006E7E3E">
        <w:trPr>
          <w:trHeight w:val="1300"/>
        </w:trPr>
        <w:tc>
          <w:tcPr>
            <w:tcW w:w="2235" w:type="dxa"/>
          </w:tcPr>
          <w:p w14:paraId="14EDB2B6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3. Обхват и целева група</w:t>
            </w:r>
          </w:p>
        </w:tc>
        <w:tc>
          <w:tcPr>
            <w:tcW w:w="4814" w:type="dxa"/>
          </w:tcPr>
          <w:p w14:paraId="7DED9CFF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Проектът включва най-малко 100 деца, има осигурено участие на деца от уязвими групи (мин. 10%). Целевата група е ясно описана.</w:t>
            </w:r>
          </w:p>
        </w:tc>
        <w:tc>
          <w:tcPr>
            <w:tcW w:w="1792" w:type="dxa"/>
          </w:tcPr>
          <w:p w14:paraId="1FACDB46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0–5</w:t>
            </w:r>
          </w:p>
        </w:tc>
        <w:tc>
          <w:tcPr>
            <w:tcW w:w="1005" w:type="dxa"/>
          </w:tcPr>
          <w:p w14:paraId="4564D0FD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×2</w:t>
            </w:r>
          </w:p>
        </w:tc>
        <w:tc>
          <w:tcPr>
            <w:tcW w:w="1635" w:type="dxa"/>
          </w:tcPr>
          <w:p w14:paraId="47B25B77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10</w:t>
            </w:r>
          </w:p>
        </w:tc>
      </w:tr>
      <w:tr w:rsidR="00C57D51" w:rsidRPr="006E7E3E" w14:paraId="16BABF1C" w14:textId="77777777" w:rsidTr="006E7E3E">
        <w:trPr>
          <w:trHeight w:val="1560"/>
        </w:trPr>
        <w:tc>
          <w:tcPr>
            <w:tcW w:w="2235" w:type="dxa"/>
          </w:tcPr>
          <w:p w14:paraId="6341A95C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4. Географско разпределение</w:t>
            </w:r>
          </w:p>
        </w:tc>
        <w:tc>
          <w:tcPr>
            <w:tcW w:w="4814" w:type="dxa"/>
          </w:tcPr>
          <w:p w14:paraId="690B233C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Приоритетно се оценяват проекти от райони на Столична община, които досега не са участвали в сходни инициативи, за да се осигури териториално равномерно покритие.</w:t>
            </w:r>
          </w:p>
        </w:tc>
        <w:tc>
          <w:tcPr>
            <w:tcW w:w="1792" w:type="dxa"/>
          </w:tcPr>
          <w:p w14:paraId="6B539574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0–5</w:t>
            </w:r>
          </w:p>
        </w:tc>
        <w:tc>
          <w:tcPr>
            <w:tcW w:w="1005" w:type="dxa"/>
          </w:tcPr>
          <w:p w14:paraId="0099691F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×2</w:t>
            </w:r>
          </w:p>
        </w:tc>
        <w:tc>
          <w:tcPr>
            <w:tcW w:w="1635" w:type="dxa"/>
          </w:tcPr>
          <w:p w14:paraId="186285FB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10</w:t>
            </w:r>
          </w:p>
        </w:tc>
      </w:tr>
      <w:tr w:rsidR="00C57D51" w:rsidRPr="006E7E3E" w14:paraId="0C60AC87" w14:textId="77777777" w:rsidTr="006E7E3E">
        <w:trPr>
          <w:trHeight w:val="1820"/>
        </w:trPr>
        <w:tc>
          <w:tcPr>
            <w:tcW w:w="2235" w:type="dxa"/>
          </w:tcPr>
          <w:p w14:paraId="15425ABF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5. Качество на партньорството</w:t>
            </w:r>
          </w:p>
        </w:tc>
        <w:tc>
          <w:tcPr>
            <w:tcW w:w="4814" w:type="dxa"/>
          </w:tcPr>
          <w:p w14:paraId="2DA00ABF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Партньорството между училището и НПО/друг изпълнител е реално, с разписани роли и ангажименти. Има яснота относно включването на училището и неговата база/ученици.C10</w:t>
            </w:r>
          </w:p>
        </w:tc>
        <w:tc>
          <w:tcPr>
            <w:tcW w:w="1792" w:type="dxa"/>
          </w:tcPr>
          <w:p w14:paraId="6FC909CD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0–5</w:t>
            </w:r>
          </w:p>
        </w:tc>
        <w:tc>
          <w:tcPr>
            <w:tcW w:w="1005" w:type="dxa"/>
          </w:tcPr>
          <w:p w14:paraId="0E89FFD0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×2</w:t>
            </w:r>
          </w:p>
        </w:tc>
        <w:tc>
          <w:tcPr>
            <w:tcW w:w="1635" w:type="dxa"/>
          </w:tcPr>
          <w:p w14:paraId="5F2793DF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10</w:t>
            </w:r>
          </w:p>
        </w:tc>
      </w:tr>
      <w:tr w:rsidR="00C57D51" w:rsidRPr="006E7E3E" w14:paraId="477A5255" w14:textId="77777777" w:rsidTr="006E7E3E">
        <w:trPr>
          <w:trHeight w:val="1300"/>
        </w:trPr>
        <w:tc>
          <w:tcPr>
            <w:tcW w:w="2235" w:type="dxa"/>
          </w:tcPr>
          <w:p w14:paraId="73C77AB3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6. Реалистичност и обоснованост на бюджета</w:t>
            </w:r>
          </w:p>
        </w:tc>
        <w:tc>
          <w:tcPr>
            <w:tcW w:w="4814" w:type="dxa"/>
          </w:tcPr>
          <w:p w14:paraId="46BB260E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Бюджетът е логически свързан с дейностите. Съотношението между преки и непреки разходи е спазено. Разходите са ясно разписани и допустими.</w:t>
            </w:r>
          </w:p>
        </w:tc>
        <w:tc>
          <w:tcPr>
            <w:tcW w:w="1792" w:type="dxa"/>
          </w:tcPr>
          <w:p w14:paraId="14AFB8D6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0–5</w:t>
            </w:r>
          </w:p>
        </w:tc>
        <w:tc>
          <w:tcPr>
            <w:tcW w:w="1005" w:type="dxa"/>
          </w:tcPr>
          <w:p w14:paraId="3452A3BD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×2</w:t>
            </w:r>
          </w:p>
        </w:tc>
        <w:tc>
          <w:tcPr>
            <w:tcW w:w="1635" w:type="dxa"/>
          </w:tcPr>
          <w:p w14:paraId="616053C3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10</w:t>
            </w:r>
          </w:p>
        </w:tc>
      </w:tr>
      <w:tr w:rsidR="00C57D51" w:rsidRPr="006E7E3E" w14:paraId="42B0FD0E" w14:textId="77777777" w:rsidTr="006E7E3E">
        <w:trPr>
          <w:trHeight w:val="1040"/>
        </w:trPr>
        <w:tc>
          <w:tcPr>
            <w:tcW w:w="2235" w:type="dxa"/>
          </w:tcPr>
          <w:p w14:paraId="3AB54F56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t>7. Очаквани резултати и устойчивост</w:t>
            </w:r>
          </w:p>
        </w:tc>
        <w:tc>
          <w:tcPr>
            <w:tcW w:w="4814" w:type="dxa"/>
          </w:tcPr>
          <w:p w14:paraId="58B16285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Проектът формулира измерими очаквани резултати (брой деца, въздействие). Има идея за повторяемост и устойчивост.</w:t>
            </w:r>
          </w:p>
        </w:tc>
        <w:tc>
          <w:tcPr>
            <w:tcW w:w="1792" w:type="dxa"/>
          </w:tcPr>
          <w:p w14:paraId="281D5EB6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0–5</w:t>
            </w:r>
          </w:p>
        </w:tc>
        <w:tc>
          <w:tcPr>
            <w:tcW w:w="1005" w:type="dxa"/>
          </w:tcPr>
          <w:p w14:paraId="09C73028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×2</w:t>
            </w:r>
          </w:p>
        </w:tc>
        <w:tc>
          <w:tcPr>
            <w:tcW w:w="1635" w:type="dxa"/>
          </w:tcPr>
          <w:p w14:paraId="398F1F4F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10</w:t>
            </w:r>
          </w:p>
        </w:tc>
      </w:tr>
      <w:tr w:rsidR="00C57D51" w:rsidRPr="006E7E3E" w14:paraId="713EAE3A" w14:textId="77777777" w:rsidTr="006E7E3E">
        <w:trPr>
          <w:trHeight w:val="992"/>
        </w:trPr>
        <w:tc>
          <w:tcPr>
            <w:tcW w:w="2235" w:type="dxa"/>
          </w:tcPr>
          <w:p w14:paraId="1AE8D662" w14:textId="77777777" w:rsidR="00C57D51" w:rsidRPr="006E7E3E" w:rsidRDefault="00A10B2B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6E7E3E">
              <w:rPr>
                <w:b/>
                <w:sz w:val="20"/>
                <w:szCs w:val="20"/>
                <w:lang w:val="bg-BG"/>
              </w:rPr>
              <w:lastRenderedPageBreak/>
              <w:t>8. Информираност и публичност</w:t>
            </w:r>
          </w:p>
        </w:tc>
        <w:tc>
          <w:tcPr>
            <w:tcW w:w="4814" w:type="dxa"/>
          </w:tcPr>
          <w:p w14:paraId="71752E56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Проектът предвижда видимост на подкрепата от Столична община, ясно са посочени комуникационните канали и използването на задължителните визуални елементи.</w:t>
            </w:r>
          </w:p>
        </w:tc>
        <w:tc>
          <w:tcPr>
            <w:tcW w:w="1792" w:type="dxa"/>
          </w:tcPr>
          <w:p w14:paraId="377F970C" w14:textId="77777777" w:rsidR="00C57D51" w:rsidRPr="006E7E3E" w:rsidRDefault="00A10B2B">
            <w:pPr>
              <w:jc w:val="both"/>
              <w:rPr>
                <w:sz w:val="20"/>
                <w:szCs w:val="20"/>
                <w:lang w:val="bg-BG"/>
              </w:rPr>
            </w:pPr>
            <w:r w:rsidRPr="006E7E3E">
              <w:rPr>
                <w:sz w:val="20"/>
                <w:szCs w:val="20"/>
                <w:lang w:val="bg-BG"/>
              </w:rPr>
              <w:t>0–5</w:t>
            </w:r>
          </w:p>
        </w:tc>
        <w:tc>
          <w:tcPr>
            <w:tcW w:w="1005" w:type="dxa"/>
          </w:tcPr>
          <w:p w14:paraId="34D2804D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×1</w:t>
            </w:r>
          </w:p>
        </w:tc>
        <w:tc>
          <w:tcPr>
            <w:tcW w:w="1635" w:type="dxa"/>
          </w:tcPr>
          <w:p w14:paraId="0A90D4C1" w14:textId="77777777" w:rsidR="00C57D51" w:rsidRPr="006E7E3E" w:rsidRDefault="00A10B2B">
            <w:pPr>
              <w:jc w:val="both"/>
              <w:rPr>
                <w:lang w:val="bg-BG"/>
              </w:rPr>
            </w:pPr>
            <w:r w:rsidRPr="006E7E3E">
              <w:rPr>
                <w:lang w:val="bg-BG"/>
              </w:rPr>
              <w:t>5</w:t>
            </w:r>
          </w:p>
        </w:tc>
      </w:tr>
    </w:tbl>
    <w:p w14:paraId="0CAED72B" w14:textId="77777777" w:rsidR="00C57D51" w:rsidRPr="006E7E3E" w:rsidRDefault="00C57D51">
      <w:pPr>
        <w:jc w:val="both"/>
        <w:rPr>
          <w:lang w:val="bg-BG"/>
        </w:rPr>
      </w:pPr>
    </w:p>
    <w:p w14:paraId="2A8135E9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Максимален брой точки: 100</w:t>
      </w:r>
    </w:p>
    <w:p w14:paraId="39FDE258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Проекти с над 80 т. Получават 100% финансиране. Под 70 т. – не се финансират.</w:t>
      </w:r>
    </w:p>
    <w:p w14:paraId="5BE1145F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При равен брой точки – приоритет за слабо обхванати райони и проекти с повече уязвими деца.</w:t>
      </w:r>
    </w:p>
    <w:p w14:paraId="64D76883" w14:textId="77777777" w:rsidR="00C57D51" w:rsidRPr="006E7E3E" w:rsidRDefault="00A10B2B">
      <w:pPr>
        <w:pStyle w:val="Heading1"/>
        <w:jc w:val="both"/>
        <w:rPr>
          <w:lang w:val="bg-BG"/>
        </w:rPr>
      </w:pPr>
      <w:r w:rsidRPr="006E7E3E">
        <w:rPr>
          <w:lang w:val="bg-BG"/>
        </w:rPr>
        <w:t>V. ИНФОРМИРАНОСТ, МОНИТОРИНГ И ОТЧИТАНЕ НА ПРОЕКТНИТЕ ДЕЙНОСТИ</w:t>
      </w:r>
    </w:p>
    <w:p w14:paraId="36D147ED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 xml:space="preserve">Всички одобрени проекти по програмата </w:t>
      </w:r>
      <w:r w:rsidRPr="006E7E3E">
        <w:rPr>
          <w:b/>
          <w:lang w:val="bg-BG"/>
        </w:rPr>
        <w:t>„Витоша на децата“</w:t>
      </w:r>
      <w:r w:rsidRPr="006E7E3E">
        <w:rPr>
          <w:lang w:val="bg-BG"/>
        </w:rPr>
        <w:t xml:space="preserve"> са длъжни да осигурят видимост и публичност на подкрепата от Столична община.</w:t>
      </w:r>
    </w:p>
    <w:p w14:paraId="15C11CE0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Минимални изисквания:</w:t>
      </w:r>
    </w:p>
    <w:p w14:paraId="2C7D85AF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 xml:space="preserve">Всички информационни материали (съобщения в социалните медии, тениски, грамоти и др.) трябва задължително да съдържат: герба на Столична община и текста: </w:t>
      </w:r>
      <w:r w:rsidRPr="006E7E3E">
        <w:rPr>
          <w:i/>
          <w:lang w:val="bg-BG"/>
        </w:rPr>
        <w:t>„Проектът се реализира с подкрепата на Летни лагери „Витоша на децата“ на Столична община.“</w:t>
      </w:r>
    </w:p>
    <w:p w14:paraId="667E48EA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Публичност се осигурява чрез:</w:t>
      </w:r>
    </w:p>
    <w:p w14:paraId="15C017A5" w14:textId="77777777" w:rsidR="00C57D51" w:rsidRPr="006E7E3E" w:rsidRDefault="00A10B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социални мрежи;</w:t>
      </w:r>
    </w:p>
    <w:p w14:paraId="0557D83B" w14:textId="77777777" w:rsidR="00C57D51" w:rsidRPr="006E7E3E" w:rsidRDefault="00A10B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Изработка на рекламни материали с дългосрочна стойност, които ще се използват многократно от участниците, като: тениски, текстилни торбички, бутилки, шапки и други аксесоари;</w:t>
      </w:r>
    </w:p>
    <w:p w14:paraId="160F0742" w14:textId="77777777" w:rsidR="00C57D51" w:rsidRPr="006E7E3E" w:rsidRDefault="00A10B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медийни съобщения.</w:t>
      </w:r>
    </w:p>
    <w:p w14:paraId="59962ED0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Мониторинг на изпълнението</w:t>
      </w:r>
    </w:p>
    <w:p w14:paraId="718ED879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Контролът върху качеството и изпълнението на проектите се осъществява от:</w:t>
      </w:r>
    </w:p>
    <w:p w14:paraId="10137DEA" w14:textId="77777777" w:rsidR="00C57D51" w:rsidRPr="006E7E3E" w:rsidRDefault="00A10B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Експерти от дирекция „Образование“;</w:t>
      </w:r>
    </w:p>
    <w:p w14:paraId="56D23979" w14:textId="77777777" w:rsidR="00C57D51" w:rsidRPr="006E7E3E" w:rsidRDefault="00A10B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 xml:space="preserve">Общински съветници </w:t>
      </w:r>
    </w:p>
    <w:p w14:paraId="59F3AB06" w14:textId="77777777" w:rsidR="00C57D51" w:rsidRPr="006E7E3E" w:rsidRDefault="00A10B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Назначени външни наблюдатели (при необходимост).</w:t>
      </w:r>
    </w:p>
    <w:p w14:paraId="73F4FDBD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Мониторинг се извършва чрез:</w:t>
      </w:r>
    </w:p>
    <w:p w14:paraId="18B71F78" w14:textId="77777777" w:rsidR="00C57D51" w:rsidRPr="006E7E3E" w:rsidRDefault="00A10B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lastRenderedPageBreak/>
        <w:t>Проверки на място по време на лагерите;</w:t>
      </w:r>
    </w:p>
    <w:p w14:paraId="443EEFF9" w14:textId="77777777" w:rsidR="00C57D51" w:rsidRPr="006E7E3E" w:rsidRDefault="00A10B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Изискване на междинна информация при нужда;</w:t>
      </w:r>
    </w:p>
    <w:p w14:paraId="3D88F1D5" w14:textId="77777777" w:rsidR="00C57D51" w:rsidRPr="006E7E3E" w:rsidRDefault="00A10B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Съответствие със заложената програма, обхват и график.</w:t>
      </w:r>
    </w:p>
    <w:p w14:paraId="49B25211" w14:textId="77777777" w:rsidR="00C57D51" w:rsidRPr="006E7E3E" w:rsidRDefault="00A10B2B">
      <w:pPr>
        <w:jc w:val="both"/>
        <w:rPr>
          <w:b/>
          <w:u w:val="single"/>
          <w:lang w:val="bg-BG"/>
        </w:rPr>
      </w:pPr>
      <w:r w:rsidRPr="006E7E3E">
        <w:rPr>
          <w:b/>
          <w:u w:val="single"/>
          <w:lang w:val="bg-BG"/>
        </w:rPr>
        <w:t>Отчитане на проектите</w:t>
      </w:r>
    </w:p>
    <w:p w14:paraId="59034046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Одобрените организации са длъжни да представят:</w:t>
      </w:r>
    </w:p>
    <w:p w14:paraId="6CC59F0F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Краен отчет – до 15 октомври 2025 г. включително:</w:t>
      </w:r>
    </w:p>
    <w:p w14:paraId="7473F649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Съдържателен отчет, включващ:</w:t>
      </w:r>
    </w:p>
    <w:p w14:paraId="1FBC47D5" w14:textId="77777777" w:rsidR="00C57D51" w:rsidRPr="006E7E3E" w:rsidRDefault="00A10B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описание на реализираните дейности;</w:t>
      </w:r>
    </w:p>
    <w:p w14:paraId="151C6CDB" w14:textId="77777777" w:rsidR="00C57D51" w:rsidRPr="006E7E3E" w:rsidRDefault="00A10B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анализ на резултатите;</w:t>
      </w:r>
    </w:p>
    <w:p w14:paraId="7E88C30E" w14:textId="77777777" w:rsidR="00C57D51" w:rsidRPr="006E7E3E" w:rsidRDefault="00A10B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списъци на участниците;</w:t>
      </w:r>
    </w:p>
    <w:p w14:paraId="5FAFE473" w14:textId="77777777" w:rsidR="00C57D51" w:rsidRPr="006E7E3E" w:rsidRDefault="00A10B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снимков материал;</w:t>
      </w:r>
    </w:p>
    <w:p w14:paraId="79DBED0F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копия на програми, дневници, медийни публикации;</w:t>
      </w:r>
    </w:p>
    <w:p w14:paraId="05225E20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Финансов отчет, включващ:</w:t>
      </w:r>
    </w:p>
    <w:p w14:paraId="1281A6E7" w14:textId="77777777" w:rsidR="00C57D51" w:rsidRPr="006E7E3E" w:rsidRDefault="00A10B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заверени копия на разходооправдателни документи (фактури, платежни документи, договори);</w:t>
      </w:r>
    </w:p>
    <w:p w14:paraId="12ECA504" w14:textId="77777777" w:rsidR="00C57D51" w:rsidRPr="006E7E3E" w:rsidRDefault="00A10B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bg-BG"/>
        </w:rPr>
      </w:pPr>
      <w:r w:rsidRPr="006E7E3E">
        <w:rPr>
          <w:color w:val="000000"/>
          <w:lang w:val="bg-BG"/>
        </w:rPr>
        <w:t>таблица с направените разходи по пера;</w:t>
      </w:r>
    </w:p>
    <w:p w14:paraId="1B834DAB" w14:textId="77777777" w:rsidR="00C57D51" w:rsidRPr="006E7E3E" w:rsidRDefault="00A10B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bg-BG"/>
        </w:rPr>
      </w:pPr>
      <w:r w:rsidRPr="006E7E3E">
        <w:rPr>
          <w:color w:val="000000"/>
          <w:lang w:val="bg-BG"/>
        </w:rPr>
        <w:t>декларации за съответствие на разходите с бюджета по проекта.</w:t>
      </w:r>
    </w:p>
    <w:p w14:paraId="4FE32BD4" w14:textId="4D19E76C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 xml:space="preserve">Всички документи трябва да бъдат внесени с придружително писмо до координатора на програмата – заместник-кмет на Столична община, чрез деловодството на СО и се разглеждат от оценителна комисия, включваща експерти от дирекция „Образование“ и представители на Столичния общински съвет. </w:t>
      </w:r>
    </w:p>
    <w:p w14:paraId="59154B7E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Финансирането се осъществява поетапно:</w:t>
      </w:r>
    </w:p>
    <w:p w14:paraId="20FDF4B2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60% авансово плащане – в срок до 15 работни дни след подписване на договора;</w:t>
      </w:r>
    </w:p>
    <w:p w14:paraId="49A114EC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40% окончателно плащане – след одобрение на съдържателния и финансовия отчет.</w:t>
      </w:r>
    </w:p>
    <w:p w14:paraId="43AC8DC8" w14:textId="77777777" w:rsidR="00C57D51" w:rsidRPr="006E7E3E" w:rsidRDefault="00A10B2B">
      <w:pPr>
        <w:jc w:val="both"/>
        <w:rPr>
          <w:b/>
          <w:lang w:val="bg-BG"/>
        </w:rPr>
      </w:pPr>
      <w:r w:rsidRPr="006E7E3E">
        <w:rPr>
          <w:b/>
          <w:lang w:val="bg-BG"/>
        </w:rPr>
        <w:t>Отговорност и санкции</w:t>
      </w:r>
    </w:p>
    <w:p w14:paraId="4DC808A6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При установено неспазване на заложените параметри, организацията може да бъде задължена да възстанови част или цялото финансиране;</w:t>
      </w:r>
    </w:p>
    <w:p w14:paraId="0E009DBA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lastRenderedPageBreak/>
        <w:t>Организации, които не представят отчет в срок или използват средствата неправомерно, няма да бъдат допускани до следващи издания на програмата за срок от две години;</w:t>
      </w:r>
    </w:p>
    <w:p w14:paraId="48AF9EBE" w14:textId="77777777" w:rsidR="00C57D51" w:rsidRPr="006E7E3E" w:rsidRDefault="00A10B2B">
      <w:pPr>
        <w:jc w:val="both"/>
        <w:rPr>
          <w:lang w:val="bg-BG"/>
        </w:rPr>
      </w:pPr>
      <w:r w:rsidRPr="006E7E3E">
        <w:rPr>
          <w:lang w:val="bg-BG"/>
        </w:rPr>
        <w:t>Цялата документация по проекта се съхранява от изпълнителя и от дирекция „Образование“ за срок от пет години.</w:t>
      </w:r>
    </w:p>
    <w:bookmarkEnd w:id="0"/>
    <w:p w14:paraId="1469C561" w14:textId="77777777" w:rsidR="00C57D51" w:rsidRPr="006E7E3E" w:rsidRDefault="00C57D51">
      <w:pPr>
        <w:jc w:val="both"/>
        <w:rPr>
          <w:lang w:val="bg-BG"/>
        </w:rPr>
      </w:pPr>
    </w:p>
    <w:sectPr w:rsidR="00C57D51" w:rsidRPr="006E7E3E"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EC3"/>
    <w:multiLevelType w:val="multilevel"/>
    <w:tmpl w:val="F7DC5ACA"/>
    <w:lvl w:ilvl="0">
      <w:start w:val="1"/>
      <w:numFmt w:val="bullet"/>
      <w:pStyle w:val="ListNumber2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03ECF"/>
    <w:multiLevelType w:val="multilevel"/>
    <w:tmpl w:val="A2401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E63"/>
    <w:multiLevelType w:val="multilevel"/>
    <w:tmpl w:val="2E107C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1F1D8F"/>
    <w:multiLevelType w:val="multilevel"/>
    <w:tmpl w:val="5B762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51D73"/>
    <w:multiLevelType w:val="multilevel"/>
    <w:tmpl w:val="E2E614B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610B2B"/>
    <w:multiLevelType w:val="multilevel"/>
    <w:tmpl w:val="28324CE4"/>
    <w:lvl w:ilvl="0">
      <w:start w:val="1"/>
      <w:numFmt w:val="bullet"/>
      <w:pStyle w:val="List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442988"/>
    <w:multiLevelType w:val="multilevel"/>
    <w:tmpl w:val="E1CCDAC6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07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5E71B8"/>
    <w:multiLevelType w:val="multilevel"/>
    <w:tmpl w:val="C98C896A"/>
    <w:lvl w:ilvl="0">
      <w:start w:val="1"/>
      <w:numFmt w:val="bullet"/>
      <w:lvlText w:val="⮚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2E7BA4"/>
    <w:multiLevelType w:val="multilevel"/>
    <w:tmpl w:val="1642555A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002D0F"/>
    <w:multiLevelType w:val="multilevel"/>
    <w:tmpl w:val="CE80B0B4"/>
    <w:lvl w:ilvl="0">
      <w:start w:val="1"/>
      <w:numFmt w:val="bullet"/>
      <w:pStyle w:val="ListNumber3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003456A"/>
    <w:multiLevelType w:val="multilevel"/>
    <w:tmpl w:val="84FE73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F90678"/>
    <w:multiLevelType w:val="multilevel"/>
    <w:tmpl w:val="950EA8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7066B4"/>
    <w:multiLevelType w:val="multilevel"/>
    <w:tmpl w:val="887C99D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45E076D"/>
    <w:multiLevelType w:val="multilevel"/>
    <w:tmpl w:val="037A9E5E"/>
    <w:lvl w:ilvl="0">
      <w:start w:val="1"/>
      <w:numFmt w:val="bullet"/>
      <w:pStyle w:val="ListNumber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13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1"/>
    <w:rsid w:val="00482E83"/>
    <w:rsid w:val="006E7E3E"/>
    <w:rsid w:val="00A10B2B"/>
    <w:rsid w:val="00C57D51"/>
    <w:rsid w:val="00C850B6"/>
    <w:rsid w:val="00E7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EF23"/>
  <w15:docId w15:val="{C2D8E46D-B743-48B1-AB62-0F8FFEC0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vxc0d4zJ5oOG0iqasmh/23bIQ==">CgMxLjA4AHIhMUltWXdFZ0RuUVR3TG1vZ0VxSVRLQzZNV0JDZ3pTQXhx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Десислава Желязкова</cp:lastModifiedBy>
  <cp:revision>5</cp:revision>
  <dcterms:created xsi:type="dcterms:W3CDTF">2025-04-01T08:37:00Z</dcterms:created>
  <dcterms:modified xsi:type="dcterms:W3CDTF">2025-05-07T12:23:00Z</dcterms:modified>
</cp:coreProperties>
</file>