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C0D7" w14:textId="77777777" w:rsidR="00DC14EA" w:rsidRPr="00195B40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4564125F" w14:textId="56ABB264" w:rsidR="00E06130" w:rsidRPr="00303837" w:rsidRDefault="004832B9" w:rsidP="00E06130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4D46E4" w:rsidRPr="004D46E4">
        <w:rPr>
          <w:rFonts w:ascii="Times New Roman" w:eastAsia="Times New Roman" w:hAnsi="Times New Roman" w:cs="Times New Roman"/>
          <w:b/>
          <w:lang w:eastAsia="bg-BG"/>
        </w:rPr>
        <w:t xml:space="preserve">ЦЕНТЪР ЗА СОЦИАЛНА РЕХАБИЛИТАЦИЯ И ИНТЕГРАЦИЯ (с приоритет психични разстройства) </w:t>
      </w:r>
      <w:r w:rsidR="004D46E4" w:rsidRPr="004D46E4">
        <w:rPr>
          <w:rFonts w:ascii="Times New Roman" w:eastAsia="Times New Roman" w:hAnsi="Times New Roman" w:cs="Times New Roman"/>
          <w:b/>
          <w:lang w:val="en-US" w:eastAsia="bg-BG"/>
        </w:rPr>
        <w:t xml:space="preserve">с </w:t>
      </w:r>
      <w:proofErr w:type="spellStart"/>
      <w:r w:rsidR="004D46E4" w:rsidRPr="004D46E4">
        <w:rPr>
          <w:rFonts w:ascii="Times New Roman" w:eastAsia="Times New Roman" w:hAnsi="Times New Roman" w:cs="Times New Roman"/>
          <w:b/>
          <w:lang w:val="en-US" w:eastAsia="bg-BG"/>
        </w:rPr>
        <w:t>основни</w:t>
      </w:r>
      <w:proofErr w:type="spellEnd"/>
      <w:r w:rsidR="004D46E4" w:rsidRPr="004D46E4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proofErr w:type="spellStart"/>
      <w:r w:rsidR="004D46E4" w:rsidRPr="004D46E4">
        <w:rPr>
          <w:rFonts w:ascii="Times New Roman" w:eastAsia="Times New Roman" w:hAnsi="Times New Roman" w:cs="Times New Roman"/>
          <w:b/>
          <w:lang w:val="en-US" w:eastAsia="bg-BG"/>
        </w:rPr>
        <w:t>дейности</w:t>
      </w:r>
      <w:proofErr w:type="spellEnd"/>
      <w:r w:rsidR="004D46E4" w:rsidRPr="004D46E4">
        <w:rPr>
          <w:rFonts w:ascii="Times New Roman" w:eastAsia="Times New Roman" w:hAnsi="Times New Roman" w:cs="Times New Roman"/>
          <w:b/>
          <w:lang w:val="en-US" w:eastAsia="bg-BG"/>
        </w:rPr>
        <w:t xml:space="preserve">: </w:t>
      </w:r>
      <w:r w:rsidR="004D46E4" w:rsidRPr="004D46E4">
        <w:rPr>
          <w:rFonts w:ascii="Times New Roman" w:eastAsia="Times New Roman" w:hAnsi="Times New Roman" w:cs="Times New Roman"/>
          <w:b/>
          <w:lang w:eastAsia="bg-BG"/>
        </w:rPr>
        <w:t>„Информиране и консултиране“ (като общодостъпна и като специализирана услуга); „</w:t>
      </w:r>
      <w:proofErr w:type="spellStart"/>
      <w:r w:rsidR="004D46E4" w:rsidRPr="004D46E4">
        <w:rPr>
          <w:rFonts w:ascii="Times New Roman" w:eastAsia="Times New Roman" w:hAnsi="Times New Roman" w:cs="Times New Roman"/>
          <w:b/>
          <w:lang w:eastAsia="bg-BG"/>
        </w:rPr>
        <w:t>Общностна</w:t>
      </w:r>
      <w:proofErr w:type="spellEnd"/>
      <w:r w:rsidR="004D46E4" w:rsidRPr="004D46E4">
        <w:rPr>
          <w:rFonts w:ascii="Times New Roman" w:eastAsia="Times New Roman" w:hAnsi="Times New Roman" w:cs="Times New Roman"/>
          <w:b/>
          <w:lang w:eastAsia="bg-BG"/>
        </w:rPr>
        <w:t xml:space="preserve"> работа“; „Застъпничество и посредничество“; “Терапия и рехабилитация“; „Обучение за придобиване на умения“ (като общодостъпна и като специализирана услуга) и „Подкрепа за придобиване на трудови умения“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НА ТЕРИТОРИЯТА НА СТОЛИЧНА ОБЩИНА </w:t>
      </w:r>
    </w:p>
    <w:p w14:paraId="7D28FCF9" w14:textId="77777777" w:rsidR="0038028D" w:rsidRPr="00303837" w:rsidRDefault="0038028D" w:rsidP="0089721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87DCE93" w14:textId="19DB122B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proofErr w:type="gramStart"/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</w:t>
      </w:r>
      <w:proofErr w:type="gramEnd"/>
      <w:r w:rsidRPr="00303837">
        <w:rPr>
          <w:rFonts w:ascii="Times New Roman" w:eastAsia="Times New Roman" w:hAnsi="Times New Roman" w:cs="Times New Roman"/>
          <w:lang w:eastAsia="bg-BG"/>
        </w:rPr>
        <w:t xml:space="preserve">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5A66FA63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3BA08028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C76DC1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lastRenderedPageBreak/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77DB37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21B79B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8D7AFF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43944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05BB20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E87C4D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F564A5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230381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A4A458E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42FCB" w14:textId="77777777" w:rsidR="002E306D" w:rsidRPr="00195B40" w:rsidRDefault="002E306D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255D1B6C" w14:textId="7651F613" w:rsidR="00D97831" w:rsidRPr="00195B40" w:rsidRDefault="00D97831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</w:t>
            </w:r>
            <w:proofErr w:type="spellStart"/>
            <w:r>
              <w:rPr>
                <w:rFonts w:ascii="Times New Roman" w:hAnsi="Times New Roman" w:cs="Times New Roman"/>
              </w:rPr>
              <w:t>Д2</w:t>
            </w:r>
            <w:proofErr w:type="spellEnd"/>
            <w:r>
              <w:rPr>
                <w:rFonts w:ascii="Times New Roman" w:hAnsi="Times New Roman" w:cs="Times New Roman"/>
              </w:rPr>
              <w:t>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665EFC" w:rsidRDefault="00602774" w:rsidP="00897211">
      <w:pPr>
        <w:pStyle w:val="BodyText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BodyText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0030F84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70C403A" w14:textId="1A59AC50"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14:paraId="1FF41A1D" w14:textId="77777777"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311F7642" w14:textId="77777777"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</w:t>
      </w:r>
      <w:proofErr w:type="spellStart"/>
      <w:r>
        <w:rPr>
          <w:rFonts w:ascii="Times New Roman" w:hAnsi="Times New Roman" w:cs="Times New Roman"/>
        </w:rPr>
        <w:t>Д2</w:t>
      </w:r>
      <w:proofErr w:type="spellEnd"/>
      <w:r>
        <w:rPr>
          <w:rFonts w:ascii="Times New Roman" w:hAnsi="Times New Roman" w:cs="Times New Roman"/>
        </w:rPr>
        <w:t>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729A808E" w14:textId="77777777"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53DEA887" w14:textId="77777777"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Материална база</w:t>
      </w:r>
    </w:p>
    <w:p w14:paraId="329B6AE6" w14:textId="77777777" w:rsidR="009913AA" w:rsidRPr="00665EFC" w:rsidRDefault="009913AA" w:rsidP="00897211">
      <w:pPr>
        <w:pStyle w:val="BodyText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BodyText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1E83-512D-459E-97D7-FF8C3D08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4</cp:revision>
  <cp:lastPrinted>2021-02-19T09:28:00Z</cp:lastPrinted>
  <dcterms:created xsi:type="dcterms:W3CDTF">2022-11-21T13:43:00Z</dcterms:created>
  <dcterms:modified xsi:type="dcterms:W3CDTF">2022-11-21T13:53:00Z</dcterms:modified>
</cp:coreProperties>
</file>