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2" w:type="dxa"/>
        <w:tblBorders>
          <w:bottom w:val="single" w:sz="4" w:space="0" w:color="auto"/>
        </w:tblBorders>
        <w:tblLook w:val="04A0" w:firstRow="1" w:lastRow="0" w:firstColumn="1" w:lastColumn="0" w:noHBand="0" w:noVBand="1"/>
      </w:tblPr>
      <w:tblGrid>
        <w:gridCol w:w="3335"/>
        <w:gridCol w:w="2755"/>
        <w:gridCol w:w="3532"/>
      </w:tblGrid>
      <w:tr w:rsidR="00BB71A5" w14:paraId="436186AB" w14:textId="77777777" w:rsidTr="004F4E49">
        <w:tc>
          <w:tcPr>
            <w:tcW w:w="3335" w:type="dxa"/>
            <w:shd w:val="clear" w:color="auto" w:fill="auto"/>
          </w:tcPr>
          <w:p w14:paraId="60957B0D" w14:textId="77777777" w:rsidR="00BB71A5" w:rsidRDefault="00BB71A5" w:rsidP="004F4E49">
            <w:pPr>
              <w:pStyle w:val="Header"/>
              <w:spacing w:after="120" w:line="240" w:lineRule="atLeast"/>
            </w:pPr>
            <w:r>
              <w:rPr>
                <w:noProof/>
              </w:rPr>
              <w:drawing>
                <wp:inline distT="0" distB="0" distL="0" distR="0" wp14:anchorId="0F7817C7" wp14:editId="0D34F5FA">
                  <wp:extent cx="864870" cy="785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870" cy="785495"/>
                          </a:xfrm>
                          <a:prstGeom prst="rect">
                            <a:avLst/>
                          </a:prstGeom>
                          <a:noFill/>
                          <a:ln>
                            <a:noFill/>
                          </a:ln>
                        </pic:spPr>
                      </pic:pic>
                    </a:graphicData>
                  </a:graphic>
                </wp:inline>
              </w:drawing>
            </w:r>
          </w:p>
          <w:p w14:paraId="619E87D9" w14:textId="77777777" w:rsidR="00BB71A5" w:rsidRPr="006D1DB2" w:rsidRDefault="00BB71A5" w:rsidP="004F4E49">
            <w:pPr>
              <w:rPr>
                <w:b/>
              </w:rPr>
            </w:pPr>
          </w:p>
        </w:tc>
        <w:tc>
          <w:tcPr>
            <w:tcW w:w="2755" w:type="dxa"/>
          </w:tcPr>
          <w:p w14:paraId="19CE7FC7" w14:textId="77777777" w:rsidR="00BB71A5" w:rsidRDefault="00BB71A5" w:rsidP="004F4E49">
            <w:pPr>
              <w:jc w:val="center"/>
              <w:rPr>
                <w:b/>
                <w:noProof/>
              </w:rPr>
            </w:pPr>
            <w:r>
              <w:rPr>
                <w:noProof/>
              </w:rPr>
              <w:drawing>
                <wp:inline distT="0" distB="0" distL="0" distR="0" wp14:anchorId="43CD32A4" wp14:editId="321C879C">
                  <wp:extent cx="705485" cy="835025"/>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5485" cy="835025"/>
                          </a:xfrm>
                          <a:prstGeom prst="rect">
                            <a:avLst/>
                          </a:prstGeom>
                          <a:noFill/>
                          <a:ln>
                            <a:noFill/>
                          </a:ln>
                        </pic:spPr>
                      </pic:pic>
                    </a:graphicData>
                  </a:graphic>
                </wp:inline>
              </w:drawing>
            </w:r>
          </w:p>
        </w:tc>
        <w:tc>
          <w:tcPr>
            <w:tcW w:w="3532" w:type="dxa"/>
            <w:shd w:val="clear" w:color="auto" w:fill="auto"/>
          </w:tcPr>
          <w:p w14:paraId="2208B702" w14:textId="77777777" w:rsidR="00BB71A5" w:rsidRPr="006D1DB2" w:rsidRDefault="00BB71A5" w:rsidP="004F4E49">
            <w:pPr>
              <w:jc w:val="right"/>
              <w:rPr>
                <w:b/>
              </w:rPr>
            </w:pPr>
            <w:r>
              <w:rPr>
                <w:b/>
                <w:noProof/>
              </w:rPr>
              <w:drawing>
                <wp:inline distT="0" distB="0" distL="0" distR="0" wp14:anchorId="0B8B30D6" wp14:editId="75DD27F4">
                  <wp:extent cx="1003935" cy="79502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935" cy="795020"/>
                          </a:xfrm>
                          <a:prstGeom prst="rect">
                            <a:avLst/>
                          </a:prstGeom>
                          <a:noFill/>
                          <a:ln>
                            <a:noFill/>
                          </a:ln>
                        </pic:spPr>
                      </pic:pic>
                    </a:graphicData>
                  </a:graphic>
                </wp:inline>
              </w:drawing>
            </w:r>
          </w:p>
        </w:tc>
      </w:tr>
    </w:tbl>
    <w:p w14:paraId="6CC5987D" w14:textId="3E39DDCC" w:rsidR="00600F84" w:rsidRPr="00F00D81" w:rsidRDefault="00BB71A5" w:rsidP="00452C67">
      <w:pPr>
        <w:spacing w:line="264" w:lineRule="auto"/>
        <w:jc w:val="center"/>
        <w:rPr>
          <w:b/>
          <w:sz w:val="32"/>
          <w:szCs w:val="32"/>
          <w:lang w:val="bg-BG"/>
        </w:rPr>
      </w:pPr>
      <w:r w:rsidRPr="0089101B">
        <w:rPr>
          <w:b/>
          <w:sz w:val="28"/>
          <w:szCs w:val="28"/>
          <w:lang w:val="bg-BG"/>
        </w:rPr>
        <w:t>УКАЗАНИЯ</w:t>
      </w:r>
      <w:r>
        <w:rPr>
          <w:b/>
          <w:sz w:val="28"/>
          <w:szCs w:val="28"/>
          <w:lang w:val="bg-BG"/>
        </w:rPr>
        <w:br/>
      </w:r>
      <w:r w:rsidRPr="002E0753">
        <w:rPr>
          <w:b/>
          <w:sz w:val="28"/>
          <w:szCs w:val="28"/>
          <w:lang w:val="bg-BG"/>
        </w:rPr>
        <w:t>за попълване на Ф</w:t>
      </w:r>
      <w:r>
        <w:rPr>
          <w:b/>
          <w:sz w:val="28"/>
          <w:szCs w:val="28"/>
          <w:lang w:val="bg-BG"/>
        </w:rPr>
        <w:t>ормуляр за кандидатстване</w:t>
      </w:r>
      <w:r>
        <w:rPr>
          <w:b/>
          <w:sz w:val="28"/>
          <w:szCs w:val="28"/>
        </w:rPr>
        <w:t xml:space="preserve"> </w:t>
      </w:r>
      <w:r>
        <w:rPr>
          <w:b/>
          <w:sz w:val="28"/>
          <w:szCs w:val="28"/>
          <w:lang w:val="bg-BG"/>
        </w:rPr>
        <w:t>за колективно решение</w:t>
      </w:r>
      <w:r>
        <w:rPr>
          <w:b/>
          <w:sz w:val="28"/>
          <w:szCs w:val="28"/>
          <w:lang w:val="bg-BG"/>
        </w:rPr>
        <w:br/>
      </w:r>
      <w:r w:rsidRPr="002E0753">
        <w:rPr>
          <w:b/>
          <w:sz w:val="28"/>
          <w:szCs w:val="28"/>
          <w:lang w:val="bg-BG"/>
        </w:rPr>
        <w:t>(Образец №1</w:t>
      </w:r>
      <w:r>
        <w:rPr>
          <w:b/>
          <w:sz w:val="28"/>
          <w:szCs w:val="28"/>
        </w:rPr>
        <w:t>A</w:t>
      </w:r>
      <w:r w:rsidRPr="002E0753">
        <w:rPr>
          <w:b/>
          <w:sz w:val="28"/>
          <w:szCs w:val="28"/>
          <w:lang w:val="bg-BG"/>
        </w:rPr>
        <w:t>)</w:t>
      </w:r>
      <w:r w:rsidRPr="002E0753">
        <w:rPr>
          <w:b/>
          <w:sz w:val="28"/>
          <w:szCs w:val="28"/>
          <w:lang w:val="bg-BG"/>
        </w:rPr>
        <w:br/>
        <w:t xml:space="preserve"> за подмяна на отоплителните уреди на твърдо гориво</w:t>
      </w:r>
      <w:r>
        <w:rPr>
          <w:b/>
          <w:sz w:val="28"/>
          <w:szCs w:val="28"/>
          <w:lang w:val="bg-BG"/>
        </w:rPr>
        <w:t xml:space="preserve"> </w:t>
      </w:r>
      <w:r w:rsidRPr="002E0753">
        <w:rPr>
          <w:b/>
          <w:sz w:val="28"/>
          <w:szCs w:val="28"/>
          <w:lang w:val="bg-BG"/>
        </w:rPr>
        <w:t>по проект „Подобряване качеството на атмосферния въздух в Столична община чрез подмяна на отоплителни устройства на твърдо гориво с екологични алтернативи“ по Оперативна програма „Околна среда2014-2020 г.“</w:t>
      </w:r>
    </w:p>
    <w:p w14:paraId="457A9497" w14:textId="77777777" w:rsidR="0063749A" w:rsidRDefault="0063749A" w:rsidP="003B47B2">
      <w:pPr>
        <w:pStyle w:val="ListParagraph"/>
        <w:contextualSpacing w:val="0"/>
        <w:jc w:val="both"/>
        <w:rPr>
          <w:b/>
          <w:lang w:val="bg-BG"/>
        </w:rPr>
      </w:pPr>
    </w:p>
    <w:p w14:paraId="416EC985" w14:textId="77777777" w:rsidR="00E67C4C" w:rsidRPr="0087482F" w:rsidRDefault="00E67C4C" w:rsidP="00C8104D">
      <w:pPr>
        <w:pStyle w:val="NormalWeb"/>
        <w:numPr>
          <w:ilvl w:val="0"/>
          <w:numId w:val="14"/>
        </w:numPr>
        <w:spacing w:before="0" w:beforeAutospacing="0" w:after="120" w:afterAutospacing="0"/>
        <w:jc w:val="both"/>
      </w:pPr>
      <w:r w:rsidRPr="0087482F">
        <w:rPr>
          <w:color w:val="000000" w:themeColor="dark1"/>
        </w:rPr>
        <w:t>Срещу всеки въпрос, който не е приложим за формуляра за кандидатстване при колективно решение за отопление, е отбелязано, че не се попълва.</w:t>
      </w:r>
    </w:p>
    <w:p w14:paraId="5235CFC7" w14:textId="150E42CA"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 xml:space="preserve">Въпроси № 1, 2, 3, 4, 5 </w:t>
      </w:r>
      <w:r w:rsidRPr="00BB71A5">
        <w:rPr>
          <w:color w:val="000000" w:themeColor="dark1"/>
        </w:rPr>
        <w:t>и</w:t>
      </w:r>
      <w:r w:rsidRPr="00BB71A5">
        <w:rPr>
          <w:b/>
          <w:color w:val="000000" w:themeColor="dark1"/>
        </w:rPr>
        <w:t xml:space="preserve"> 6</w:t>
      </w:r>
      <w:r w:rsidRPr="0087482F">
        <w:rPr>
          <w:color w:val="000000" w:themeColor="dark1"/>
        </w:rPr>
        <w:t xml:space="preserve"> се попълват за лицето, упълномощено да подаде формулярите на всички участващи в решението за колективно отопление, вкл. формуляр</w:t>
      </w:r>
      <w:r>
        <w:rPr>
          <w:color w:val="000000" w:themeColor="dark1"/>
        </w:rPr>
        <w:t>а</w:t>
      </w:r>
      <w:r w:rsidRPr="0087482F">
        <w:rPr>
          <w:color w:val="000000" w:themeColor="dark1"/>
        </w:rPr>
        <w:t xml:space="preserve"> за кандидатстване</w:t>
      </w:r>
      <w:r>
        <w:rPr>
          <w:color w:val="000000" w:themeColor="dark1"/>
        </w:rPr>
        <w:t xml:space="preserve"> при колективно решение за отопление</w:t>
      </w:r>
      <w:r w:rsidRPr="0087482F">
        <w:rPr>
          <w:color w:val="000000" w:themeColor="dark1"/>
        </w:rPr>
        <w:t>.</w:t>
      </w:r>
    </w:p>
    <w:p w14:paraId="7570E4AC" w14:textId="77777777"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Въпрос № 8</w:t>
      </w:r>
      <w:r w:rsidRPr="0087482F">
        <w:rPr>
          <w:color w:val="000000" w:themeColor="dark1"/>
        </w:rPr>
        <w:t xml:space="preserve"> е попълнен служебно.</w:t>
      </w:r>
    </w:p>
    <w:p w14:paraId="0701A375" w14:textId="27E35B13"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 xml:space="preserve">Въпроси № </w:t>
      </w:r>
      <w:r w:rsidR="00B250B0" w:rsidRPr="00BB71A5">
        <w:rPr>
          <w:b/>
          <w:color w:val="000000" w:themeColor="dark1"/>
        </w:rPr>
        <w:t>11, 12, 13, 14, 18, 24, 28</w:t>
      </w:r>
      <w:r w:rsidRPr="00BB71A5">
        <w:rPr>
          <w:b/>
          <w:color w:val="000000" w:themeColor="dark1"/>
        </w:rPr>
        <w:t xml:space="preserve">, 32 </w:t>
      </w:r>
      <w:r w:rsidRPr="00BB71A5">
        <w:rPr>
          <w:color w:val="000000" w:themeColor="dark1"/>
        </w:rPr>
        <w:t>и</w:t>
      </w:r>
      <w:r w:rsidRPr="00BB71A5">
        <w:rPr>
          <w:b/>
          <w:color w:val="000000" w:themeColor="dark1"/>
        </w:rPr>
        <w:t xml:space="preserve"> 33</w:t>
      </w:r>
      <w:r w:rsidRPr="0087482F">
        <w:rPr>
          <w:color w:val="000000" w:themeColor="dark1"/>
        </w:rPr>
        <w:t xml:space="preserve"> се попълват сумарно за всички имоти, които ще се отопляват чрез колективното решение.</w:t>
      </w:r>
    </w:p>
    <w:p w14:paraId="64E8747A" w14:textId="77777777" w:rsidR="00E67C4C" w:rsidRPr="0087482F" w:rsidRDefault="00E67C4C" w:rsidP="00C8104D">
      <w:pPr>
        <w:pStyle w:val="NormalWeb"/>
        <w:numPr>
          <w:ilvl w:val="0"/>
          <w:numId w:val="14"/>
        </w:numPr>
        <w:spacing w:before="0" w:beforeAutospacing="0" w:after="120" w:afterAutospacing="0"/>
        <w:jc w:val="both"/>
      </w:pPr>
      <w:r w:rsidRPr="00BB71A5">
        <w:rPr>
          <w:b/>
          <w:color w:val="000000" w:themeColor="dark1"/>
        </w:rPr>
        <w:t>Въпрос № 15</w:t>
      </w:r>
      <w:r w:rsidRPr="0087482F">
        <w:rPr>
          <w:color w:val="000000" w:themeColor="dark1"/>
        </w:rPr>
        <w:t xml:space="preserve"> - посочва се приблизителната средна височина на таваните в имотите, които ще се отопляват чрез колективното решение.</w:t>
      </w:r>
    </w:p>
    <w:p w14:paraId="44C95645" w14:textId="2C7250B8" w:rsidR="00E67C4C" w:rsidRPr="00C951A9" w:rsidRDefault="00E67C4C" w:rsidP="00C8104D">
      <w:pPr>
        <w:pStyle w:val="NormalWeb"/>
        <w:numPr>
          <w:ilvl w:val="0"/>
          <w:numId w:val="14"/>
        </w:numPr>
        <w:spacing w:before="0" w:beforeAutospacing="0" w:after="120" w:afterAutospacing="0"/>
        <w:jc w:val="both"/>
        <w:rPr>
          <w:color w:val="000000" w:themeColor="dark1"/>
        </w:rPr>
      </w:pPr>
      <w:r w:rsidRPr="00BB71A5">
        <w:rPr>
          <w:b/>
          <w:color w:val="000000" w:themeColor="dark1"/>
        </w:rPr>
        <w:t>Въпроси № 16</w:t>
      </w:r>
      <w:r w:rsidRPr="00C951A9">
        <w:rPr>
          <w:color w:val="000000" w:themeColor="dark1"/>
        </w:rPr>
        <w:t xml:space="preserve"> и </w:t>
      </w:r>
      <w:r w:rsidRPr="00BB71A5">
        <w:rPr>
          <w:b/>
          <w:color w:val="000000" w:themeColor="dark1"/>
        </w:rPr>
        <w:t>17</w:t>
      </w:r>
      <w:r w:rsidRPr="00C951A9">
        <w:rPr>
          <w:color w:val="000000" w:themeColor="dark1"/>
        </w:rPr>
        <w:t xml:space="preserve"> се попълват в зависимост от това дали по-голямата част от</w:t>
      </w:r>
      <w:r w:rsidR="00C951A9" w:rsidRPr="00C951A9">
        <w:rPr>
          <w:color w:val="000000" w:themeColor="dark1"/>
        </w:rPr>
        <w:t xml:space="preserve"> отделните</w:t>
      </w:r>
      <w:r w:rsidRPr="00C951A9">
        <w:rPr>
          <w:color w:val="000000" w:themeColor="dark1"/>
        </w:rPr>
        <w:t xml:space="preserve"> имоти, които ще се отопляват чрез колективното решение, разполагат с топлоизолация на стените и/или дограма с добри топлотехнически характеристики.</w:t>
      </w:r>
      <w:r w:rsidR="003F111E" w:rsidRPr="003F111E">
        <w:t xml:space="preserve"> </w:t>
      </w:r>
      <w:r w:rsidR="003F111E">
        <w:t xml:space="preserve">Следва да се отговори спрямо </w:t>
      </w:r>
      <w:r w:rsidR="003F111E" w:rsidRPr="00165AFC">
        <w:t xml:space="preserve">съществуващото положение </w:t>
      </w:r>
      <w:r w:rsidR="003F111E">
        <w:t>към</w:t>
      </w:r>
      <w:r w:rsidR="003F111E" w:rsidRPr="00165AFC">
        <w:t xml:space="preserve"> </w:t>
      </w:r>
      <w:r w:rsidR="003F111E">
        <w:t>датата на подаване на документите за кандидатстване за колективно решение за отопление.</w:t>
      </w:r>
    </w:p>
    <w:p w14:paraId="1344B5E4" w14:textId="4E029AF5" w:rsidR="003F111E" w:rsidRPr="00B250B0" w:rsidRDefault="003F111E" w:rsidP="003F111E">
      <w:pPr>
        <w:pStyle w:val="NormalWeb"/>
        <w:numPr>
          <w:ilvl w:val="0"/>
          <w:numId w:val="14"/>
        </w:numPr>
        <w:spacing w:before="0" w:beforeAutospacing="0" w:after="120" w:afterAutospacing="0"/>
        <w:jc w:val="both"/>
      </w:pPr>
      <w:r w:rsidRPr="000B6C5A">
        <w:t xml:space="preserve">Във </w:t>
      </w:r>
      <w:r w:rsidRPr="000B6C5A">
        <w:rPr>
          <w:b/>
          <w:bCs/>
        </w:rPr>
        <w:t>Въпрос 18</w:t>
      </w:r>
      <w:r w:rsidRPr="000B6C5A">
        <w:t xml:space="preserve"> упълномощеният кандидат заявява уредите за отопление на дърва или въглища в имотите, за които се кандидатства за колективно решение за отопление. Тези уреди ще бъдат демонтирани и предадени на Столична община, преди монтажа на новото отоплително оборудване, в случай че кандидатите за колективно решение бъдат одобрени за подмяна на отоплителните уред на дърва и/или въглища. Изключение прави уредът „Зидана камина без горивна камера (с открит огън, открита камина), който няма да се демонтира.</w:t>
      </w:r>
    </w:p>
    <w:p w14:paraId="7AFF68C2" w14:textId="30A55117" w:rsidR="00E67C4C" w:rsidRPr="0087482F" w:rsidRDefault="003F111E" w:rsidP="00FE098F">
      <w:pPr>
        <w:pStyle w:val="NormalWeb"/>
        <w:numPr>
          <w:ilvl w:val="0"/>
          <w:numId w:val="14"/>
        </w:numPr>
        <w:spacing w:before="0" w:beforeAutospacing="0" w:after="120" w:afterAutospacing="0"/>
        <w:jc w:val="both"/>
      </w:pPr>
      <w:r w:rsidRPr="00706A36">
        <w:t xml:space="preserve">Във </w:t>
      </w:r>
      <w:r>
        <w:rPr>
          <w:b/>
          <w:bCs/>
        </w:rPr>
        <w:t>Въпрос</w:t>
      </w:r>
      <w:r w:rsidRPr="00706A36">
        <w:rPr>
          <w:b/>
          <w:bCs/>
        </w:rPr>
        <w:t xml:space="preserve"> № 23</w:t>
      </w:r>
      <w:r w:rsidRPr="00706A36">
        <w:t xml:space="preserve"> се посочва отговор "Да" </w:t>
      </w:r>
      <w:r>
        <w:t>в случай</w:t>
      </w:r>
      <w:r w:rsidRPr="00706A36">
        <w:t xml:space="preserve"> че </w:t>
      </w:r>
      <w:r>
        <w:t>поне един от имотите</w:t>
      </w:r>
      <w:r w:rsidRPr="00706A36">
        <w:t>, за които се кандидатства за колективно решение за отопление, разполага с изградени въздушни топлопроводи. Отговор "Не" се посочва</w:t>
      </w:r>
      <w:r>
        <w:t>,</w:t>
      </w:r>
      <w:r w:rsidRPr="00706A36">
        <w:t xml:space="preserve"> ако нито един от имотите не разполага с такива</w:t>
      </w:r>
      <w:r>
        <w:t>.</w:t>
      </w:r>
    </w:p>
    <w:p w14:paraId="14C6EC34" w14:textId="07035711" w:rsidR="003F111E" w:rsidRPr="003F111E" w:rsidRDefault="003F111E" w:rsidP="00B250B0">
      <w:pPr>
        <w:pStyle w:val="ListParagraph"/>
        <w:numPr>
          <w:ilvl w:val="0"/>
          <w:numId w:val="14"/>
        </w:numPr>
        <w:jc w:val="both"/>
        <w:rPr>
          <w:rFonts w:eastAsiaTheme="minorEastAsia" w:cs="Times New Roman"/>
          <w:color w:val="000000" w:themeColor="dark1"/>
          <w:szCs w:val="24"/>
          <w:lang w:val="bg-BG" w:eastAsia="bg-BG"/>
        </w:rPr>
      </w:pPr>
      <w:r w:rsidRPr="00B250B0">
        <w:rPr>
          <w:rFonts w:eastAsiaTheme="minorEastAsia" w:cs="Times New Roman"/>
          <w:b/>
          <w:color w:val="000000" w:themeColor="dark1"/>
          <w:szCs w:val="24"/>
          <w:lang w:val="bg-BG" w:eastAsia="bg-BG"/>
        </w:rPr>
        <w:lastRenderedPageBreak/>
        <w:t>Въпрос</w:t>
      </w:r>
      <w:r w:rsidR="00B250B0" w:rsidRPr="00B250B0">
        <w:rPr>
          <w:rFonts w:eastAsiaTheme="minorEastAsia" w:cs="Times New Roman"/>
          <w:b/>
          <w:color w:val="000000" w:themeColor="dark1"/>
          <w:szCs w:val="24"/>
          <w:lang w:val="bg-BG" w:eastAsia="bg-BG"/>
        </w:rPr>
        <w:t>и №</w:t>
      </w:r>
      <w:r w:rsidRPr="00B250B0">
        <w:rPr>
          <w:rFonts w:eastAsiaTheme="minorEastAsia" w:cs="Times New Roman"/>
          <w:b/>
          <w:color w:val="000000" w:themeColor="dark1"/>
          <w:szCs w:val="24"/>
          <w:lang w:val="bg-BG" w:eastAsia="bg-BG"/>
        </w:rPr>
        <w:t xml:space="preserve"> 25 и 26: </w:t>
      </w:r>
      <w:r w:rsidRPr="003F111E">
        <w:rPr>
          <w:rFonts w:eastAsiaTheme="minorEastAsia" w:cs="Times New Roman"/>
          <w:color w:val="000000" w:themeColor="dark1"/>
          <w:szCs w:val="24"/>
          <w:lang w:val="bg-BG" w:eastAsia="bg-BG"/>
        </w:rPr>
        <w:t xml:space="preserve">В случай че </w:t>
      </w:r>
      <w:r>
        <w:rPr>
          <w:rFonts w:eastAsiaTheme="minorEastAsia" w:cs="Times New Roman"/>
          <w:color w:val="000000" w:themeColor="dark1"/>
          <w:szCs w:val="24"/>
          <w:lang w:val="bg-BG" w:eastAsia="bg-BG"/>
        </w:rPr>
        <w:t xml:space="preserve">в </w:t>
      </w:r>
      <w:r w:rsidRPr="003F111E">
        <w:rPr>
          <w:rFonts w:eastAsiaTheme="minorEastAsia" w:cs="Times New Roman"/>
          <w:color w:val="000000" w:themeColor="dark1"/>
          <w:szCs w:val="24"/>
          <w:lang w:val="bg-BG" w:eastAsia="bg-BG"/>
        </w:rPr>
        <w:t xml:space="preserve">някой от </w:t>
      </w:r>
      <w:r>
        <w:rPr>
          <w:rFonts w:eastAsiaTheme="minorEastAsia" w:cs="Times New Roman"/>
          <w:color w:val="000000" w:themeColor="dark1"/>
          <w:szCs w:val="24"/>
          <w:lang w:val="bg-BG" w:eastAsia="bg-BG"/>
        </w:rPr>
        <w:t>имотите</w:t>
      </w:r>
      <w:r w:rsidRPr="003F111E">
        <w:rPr>
          <w:rFonts w:eastAsiaTheme="minorEastAsia" w:cs="Times New Roman"/>
          <w:color w:val="000000" w:themeColor="dark1"/>
          <w:szCs w:val="24"/>
          <w:lang w:val="bg-BG" w:eastAsia="bg-BG"/>
        </w:rPr>
        <w:t xml:space="preserve"> за колективно решение за отопление няма изградени въздушни топлопроводи, а се кандидатсва за уред с въздушни топлопроводи (уреди №3 и 4) във Формуляра за колективно решение е необходимо да посочи, че ще бъдат изградени въздушни топлопроводи преди монтажа на новия уред (Въпрос 25, отговор: „Да“)</w:t>
      </w:r>
      <w:r>
        <w:rPr>
          <w:rFonts w:eastAsiaTheme="minorEastAsia" w:cs="Times New Roman"/>
          <w:color w:val="000000" w:themeColor="dark1"/>
          <w:szCs w:val="24"/>
          <w:lang w:val="bg-BG" w:eastAsia="bg-BG"/>
        </w:rPr>
        <w:t>, както</w:t>
      </w:r>
      <w:r w:rsidRPr="003F111E">
        <w:rPr>
          <w:rFonts w:eastAsiaTheme="minorEastAsia" w:cs="Times New Roman"/>
          <w:color w:val="000000" w:themeColor="dark1"/>
          <w:szCs w:val="24"/>
          <w:lang w:val="bg-BG" w:eastAsia="bg-BG"/>
        </w:rPr>
        <w:t xml:space="preserve"> и да се </w:t>
      </w:r>
      <w:r>
        <w:rPr>
          <w:rFonts w:eastAsiaTheme="minorEastAsia" w:cs="Times New Roman"/>
          <w:color w:val="000000" w:themeColor="dark1"/>
          <w:szCs w:val="24"/>
          <w:lang w:val="bg-BG" w:eastAsia="bg-BG"/>
        </w:rPr>
        <w:t>посочи</w:t>
      </w:r>
      <w:r w:rsidRPr="003F111E">
        <w:rPr>
          <w:rFonts w:eastAsiaTheme="minorEastAsia" w:cs="Times New Roman"/>
          <w:color w:val="000000" w:themeColor="dark1"/>
          <w:szCs w:val="24"/>
          <w:lang w:val="bg-BG" w:eastAsia="bg-BG"/>
        </w:rPr>
        <w:t xml:space="preserve"> броят на помещенията, в които се планира да се изградят въздушни топлопроводи (Въпрос 26). Разходите за изграждане на въздушните топлопроводи се покриват от </w:t>
      </w:r>
      <w:r w:rsidR="00FD661B">
        <w:rPr>
          <w:rFonts w:eastAsiaTheme="minorEastAsia" w:cs="Times New Roman"/>
          <w:color w:val="000000" w:themeColor="dark1"/>
          <w:szCs w:val="24"/>
          <w:lang w:val="bg-BG" w:eastAsia="bg-BG"/>
        </w:rPr>
        <w:t>съответния кандидат</w:t>
      </w:r>
      <w:r w:rsidRPr="003F111E">
        <w:rPr>
          <w:rFonts w:eastAsiaTheme="minorEastAsia" w:cs="Times New Roman"/>
          <w:color w:val="000000" w:themeColor="dark1"/>
          <w:szCs w:val="24"/>
          <w:lang w:val="bg-BG" w:eastAsia="bg-BG"/>
        </w:rPr>
        <w:t xml:space="preserve">. </w:t>
      </w:r>
    </w:p>
    <w:p w14:paraId="71CDFDFE" w14:textId="0C1A45D9" w:rsidR="00E67C4C" w:rsidRPr="0087482F" w:rsidRDefault="003F111E" w:rsidP="00C8104D">
      <w:pPr>
        <w:pStyle w:val="NormalWeb"/>
        <w:numPr>
          <w:ilvl w:val="0"/>
          <w:numId w:val="14"/>
        </w:numPr>
        <w:spacing w:before="0" w:beforeAutospacing="0" w:after="120" w:afterAutospacing="0"/>
        <w:jc w:val="both"/>
        <w:rPr>
          <w:color w:val="000000" w:themeColor="dark1"/>
        </w:rPr>
      </w:pPr>
      <w:bookmarkStart w:id="0" w:name="_Hlk39658844"/>
      <w:r w:rsidRPr="00B250B0">
        <w:rPr>
          <w:b/>
        </w:rPr>
        <w:t>Във въпрос № 27</w:t>
      </w:r>
      <w:r w:rsidRPr="00C91A78">
        <w:t xml:space="preserve"> се посочва отговор  "Да" </w:t>
      </w:r>
      <w:r>
        <w:t>в случай</w:t>
      </w:r>
      <w:r w:rsidRPr="00C91A78">
        <w:t xml:space="preserve"> че </w:t>
      </w:r>
      <w:r>
        <w:t xml:space="preserve">поне един от </w:t>
      </w:r>
      <w:r w:rsidRPr="00C91A78">
        <w:t>имоти</w:t>
      </w:r>
      <w:r>
        <w:t>те</w:t>
      </w:r>
      <w:r w:rsidRPr="00C91A78">
        <w:t>, за които се кандидатства за колективно решение за отопление, разполага с изградена инсталация с радиатори. Отговор "Не" се посочва</w:t>
      </w:r>
      <w:r>
        <w:t>,</w:t>
      </w:r>
      <w:r w:rsidRPr="00C91A78">
        <w:t xml:space="preserve"> ако нито един от имотите не разполага с такава инсталация.</w:t>
      </w:r>
      <w:bookmarkEnd w:id="0"/>
    </w:p>
    <w:p w14:paraId="0695F582" w14:textId="1390D99A" w:rsidR="00E67C4C" w:rsidRPr="0087482F" w:rsidRDefault="00FD661B" w:rsidP="00C8104D">
      <w:pPr>
        <w:pStyle w:val="NormalWeb"/>
        <w:numPr>
          <w:ilvl w:val="0"/>
          <w:numId w:val="14"/>
        </w:numPr>
        <w:spacing w:before="0" w:beforeAutospacing="0" w:after="120" w:afterAutospacing="0"/>
        <w:jc w:val="both"/>
        <w:rPr>
          <w:color w:val="000000" w:themeColor="dark1"/>
        </w:rPr>
      </w:pPr>
      <w:r w:rsidRPr="00B250B0">
        <w:rPr>
          <w:b/>
          <w:color w:val="000000" w:themeColor="dark1"/>
        </w:rPr>
        <w:t>Въпрос</w:t>
      </w:r>
      <w:r w:rsidR="00B250B0" w:rsidRPr="00B250B0">
        <w:rPr>
          <w:b/>
          <w:color w:val="000000" w:themeColor="dark1"/>
        </w:rPr>
        <w:t>и №</w:t>
      </w:r>
      <w:r w:rsidRPr="00B250B0">
        <w:rPr>
          <w:b/>
          <w:color w:val="000000" w:themeColor="dark1"/>
        </w:rPr>
        <w:t xml:space="preserve"> 30 и 31:</w:t>
      </w:r>
      <w:r w:rsidRPr="00FD661B">
        <w:rPr>
          <w:color w:val="000000" w:themeColor="dark1"/>
        </w:rPr>
        <w:t xml:space="preserve"> В случай че в някой от имотите за колективно решение за отопление няма изградена отоплителна инсталация с радиатори, а се кандидатства за уред с водна риза (уреди с номера от №5 до №17 вкл.) във формуляра за колективно решение е необходимо да се посочи, че ще бъде изградена отоплителна инсталация с радиатори преди монтажа на новия уред (Въпрос 30, отговор: „Да“), както и да се посочи броят на помещенията, в които се планира да се поставят радиатори (Въпрос 31). Всеки от кандидатите за колективно решение има право да кандидатства за до три радиатора общо от двата вида. Разходите за изграждане на отоплителната инсталация се покриват от съответния кандидат.</w:t>
      </w:r>
      <w:r w:rsidR="00E67C4C" w:rsidRPr="0087482F">
        <w:rPr>
          <w:color w:val="000000" w:themeColor="dark1"/>
        </w:rPr>
        <w:t>.</w:t>
      </w:r>
    </w:p>
    <w:p w14:paraId="41F835FF" w14:textId="69D8F639" w:rsidR="00E67C4C" w:rsidRDefault="00E67C4C" w:rsidP="00C8104D">
      <w:pPr>
        <w:pStyle w:val="NormalWeb"/>
        <w:numPr>
          <w:ilvl w:val="0"/>
          <w:numId w:val="14"/>
        </w:numPr>
        <w:spacing w:before="0" w:beforeAutospacing="0" w:after="120" w:afterAutospacing="0"/>
        <w:jc w:val="both"/>
        <w:rPr>
          <w:color w:val="000000" w:themeColor="dark1"/>
        </w:rPr>
      </w:pPr>
      <w:r w:rsidRPr="0087482F">
        <w:rPr>
          <w:color w:val="000000" w:themeColor="dark1"/>
        </w:rPr>
        <w:t xml:space="preserve">Във </w:t>
      </w:r>
      <w:r w:rsidRPr="00B250B0">
        <w:rPr>
          <w:b/>
          <w:color w:val="000000" w:themeColor="dark1"/>
        </w:rPr>
        <w:t>въпроси № 34, 35, 36, 37 и 38</w:t>
      </w:r>
      <w:r w:rsidRPr="0087482F">
        <w:rPr>
          <w:color w:val="000000" w:themeColor="dark1"/>
        </w:rPr>
        <w:t xml:space="preserve"> се посочва отговор "Да" при положение, че за поне един от имотите, за които се кандидатства за колективно решение за отопление, е вярно съответното обстоятелство.</w:t>
      </w:r>
    </w:p>
    <w:p w14:paraId="6A3C5332" w14:textId="7B4D503D" w:rsidR="00E67C4C" w:rsidRPr="0087482F" w:rsidRDefault="00E67C4C" w:rsidP="00C8104D">
      <w:pPr>
        <w:pStyle w:val="NormalWeb"/>
        <w:numPr>
          <w:ilvl w:val="0"/>
          <w:numId w:val="14"/>
        </w:numPr>
        <w:spacing w:before="0" w:beforeAutospacing="0" w:after="120" w:afterAutospacing="0"/>
        <w:jc w:val="both"/>
        <w:rPr>
          <w:color w:val="000000" w:themeColor="dark1"/>
        </w:rPr>
      </w:pPr>
      <w:r>
        <w:rPr>
          <w:color w:val="000000" w:themeColor="dark1"/>
        </w:rPr>
        <w:t xml:space="preserve">Във </w:t>
      </w:r>
      <w:r w:rsidRPr="00B250B0">
        <w:rPr>
          <w:b/>
          <w:color w:val="000000" w:themeColor="dark1"/>
        </w:rPr>
        <w:t>въпрос № 43</w:t>
      </w:r>
      <w:r>
        <w:rPr>
          <w:color w:val="000000" w:themeColor="dark1"/>
        </w:rPr>
        <w:t xml:space="preserve"> се п</w:t>
      </w:r>
      <w:r w:rsidRPr="008E3B45">
        <w:rPr>
          <w:color w:val="000000" w:themeColor="dark1"/>
        </w:rPr>
        <w:t>осочва избраното отоплително устройство между посочените в т. 3-1</w:t>
      </w:r>
      <w:r w:rsidR="00F374EE">
        <w:rPr>
          <w:color w:val="000000" w:themeColor="dark1"/>
        </w:rPr>
        <w:t>7</w:t>
      </w:r>
      <w:r w:rsidRPr="008E3B45">
        <w:rPr>
          <w:color w:val="000000" w:themeColor="dark1"/>
        </w:rPr>
        <w:t xml:space="preserve"> и общият брой на радиаторите за всички имоти по видове (т.</w:t>
      </w:r>
      <w:r w:rsidR="00F374EE">
        <w:rPr>
          <w:color w:val="000000" w:themeColor="dark1"/>
        </w:rPr>
        <w:t xml:space="preserve"> </w:t>
      </w:r>
      <w:r w:rsidRPr="008E3B45">
        <w:rPr>
          <w:color w:val="000000" w:themeColor="dark1"/>
        </w:rPr>
        <w:t>2</w:t>
      </w:r>
      <w:r w:rsidR="00F374EE">
        <w:rPr>
          <w:color w:val="000000" w:themeColor="dark1"/>
        </w:rPr>
        <w:t>6</w:t>
      </w:r>
      <w:r w:rsidRPr="008E3B45">
        <w:rPr>
          <w:color w:val="000000" w:themeColor="dark1"/>
        </w:rPr>
        <w:t>-2</w:t>
      </w:r>
      <w:r w:rsidR="00F374EE">
        <w:rPr>
          <w:color w:val="000000" w:themeColor="dark1"/>
        </w:rPr>
        <w:t>7</w:t>
      </w:r>
      <w:r w:rsidRPr="008E3B45">
        <w:rPr>
          <w:color w:val="000000" w:themeColor="dark1"/>
        </w:rPr>
        <w:t>), представляващ сбор от броя радиатори в индивидуалните формуляри за кандидатстване на собственици</w:t>
      </w:r>
      <w:r>
        <w:rPr>
          <w:color w:val="000000" w:themeColor="dark1"/>
        </w:rPr>
        <w:t>те</w:t>
      </w:r>
      <w:r w:rsidRPr="008E3B45">
        <w:rPr>
          <w:color w:val="000000" w:themeColor="dark1"/>
        </w:rPr>
        <w:t xml:space="preserve"> на имоти, които ще прилагат колективно решение за отопление.</w:t>
      </w:r>
      <w:bookmarkStart w:id="1" w:name="_GoBack"/>
      <w:bookmarkEnd w:id="1"/>
    </w:p>
    <w:p w14:paraId="7725C580" w14:textId="77777777" w:rsidR="00B250B0" w:rsidRPr="00A00A1B" w:rsidRDefault="000E7057" w:rsidP="00B250B0">
      <w:pPr>
        <w:pStyle w:val="ListParagraph"/>
        <w:jc w:val="both"/>
        <w:rPr>
          <w:lang w:val="bg-BG"/>
        </w:rPr>
      </w:pPr>
      <w:r w:rsidRPr="00C8104D">
        <w:rPr>
          <w:lang w:val="bg-BG"/>
        </w:rPr>
        <w:t>За улеснение за избора на подходящ отоплителен уред е разработен онлайн калкулатор, който бихте могли да намерите на следния интернет адрес</w:t>
      </w:r>
      <w:r w:rsidR="00B250B0">
        <w:rPr>
          <w:lang w:val="bg-BG"/>
        </w:rPr>
        <w:t xml:space="preserve">: </w:t>
      </w:r>
      <w:hyperlink r:id="rId12" w:history="1">
        <w:r w:rsidR="00B250B0" w:rsidRPr="00A00A1B">
          <w:rPr>
            <w:color w:val="0000FF"/>
            <w:u w:val="single"/>
          </w:rPr>
          <w:t>https://www.sofia.bg/web/guest/opos</w:t>
        </w:r>
      </w:hyperlink>
      <w:r w:rsidR="00B250B0">
        <w:rPr>
          <w:lang w:val="bg-BG"/>
        </w:rPr>
        <w:t xml:space="preserve">. </w:t>
      </w:r>
    </w:p>
    <w:p w14:paraId="0327D8E8" w14:textId="499869F5" w:rsidR="000E7057" w:rsidRPr="00C8104D" w:rsidRDefault="000E7057" w:rsidP="00C8104D">
      <w:pPr>
        <w:jc w:val="both"/>
        <w:rPr>
          <w:lang w:val="bg-BG"/>
        </w:rPr>
      </w:pPr>
    </w:p>
    <w:sectPr w:rsidR="000E7057" w:rsidRPr="00C8104D" w:rsidSect="00452C67">
      <w:foot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EA3FF" w14:textId="77777777" w:rsidR="00634FF1" w:rsidRDefault="00634FF1" w:rsidP="004325E4">
      <w:pPr>
        <w:spacing w:before="0" w:after="0"/>
      </w:pPr>
      <w:r>
        <w:separator/>
      </w:r>
    </w:p>
  </w:endnote>
  <w:endnote w:type="continuationSeparator" w:id="0">
    <w:p w14:paraId="0B062E82" w14:textId="77777777" w:rsidR="00634FF1" w:rsidRDefault="00634FF1" w:rsidP="004325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288634"/>
      <w:docPartObj>
        <w:docPartGallery w:val="Page Numbers (Bottom of Page)"/>
        <w:docPartUnique/>
      </w:docPartObj>
    </w:sdtPr>
    <w:sdtEndPr>
      <w:rPr>
        <w:noProof/>
      </w:rPr>
    </w:sdtEndPr>
    <w:sdtContent>
      <w:p w14:paraId="3652E5CA" w14:textId="55690B68" w:rsidR="004325E4" w:rsidRDefault="004325E4">
        <w:pPr>
          <w:pStyle w:val="Footer"/>
          <w:jc w:val="center"/>
        </w:pPr>
        <w:r>
          <w:fldChar w:fldCharType="begin"/>
        </w:r>
        <w:r>
          <w:instrText xml:space="preserve"> PAGE   \* MERGEFORMAT </w:instrText>
        </w:r>
        <w:r>
          <w:fldChar w:fldCharType="separate"/>
        </w:r>
        <w:r w:rsidR="00BB71A5">
          <w:rPr>
            <w:noProof/>
          </w:rPr>
          <w:t>2</w:t>
        </w:r>
        <w:r>
          <w:rPr>
            <w:noProof/>
          </w:rPr>
          <w:fldChar w:fldCharType="end"/>
        </w:r>
      </w:p>
    </w:sdtContent>
  </w:sdt>
  <w:p w14:paraId="38BCBDCD" w14:textId="77777777" w:rsidR="004325E4" w:rsidRDefault="00432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67DFC" w14:textId="77777777" w:rsidR="00634FF1" w:rsidRDefault="00634FF1" w:rsidP="004325E4">
      <w:pPr>
        <w:spacing w:before="0" w:after="0"/>
      </w:pPr>
      <w:r>
        <w:separator/>
      </w:r>
    </w:p>
  </w:footnote>
  <w:footnote w:type="continuationSeparator" w:id="0">
    <w:p w14:paraId="2F1DC6FC" w14:textId="77777777" w:rsidR="00634FF1" w:rsidRDefault="00634FF1" w:rsidP="004325E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21"/>
      <w:gridCol w:w="2744"/>
      <w:gridCol w:w="3511"/>
    </w:tblGrid>
    <w:tr w:rsidR="00452C67" w14:paraId="45650DDA" w14:textId="77777777" w:rsidTr="00736F77">
      <w:tc>
        <w:tcPr>
          <w:tcW w:w="3418" w:type="dxa"/>
          <w:shd w:val="clear" w:color="auto" w:fill="auto"/>
        </w:tcPr>
        <w:p w14:paraId="615B0277" w14:textId="39670DF9" w:rsidR="00452C67" w:rsidRPr="00016ED6" w:rsidRDefault="00452C67" w:rsidP="00452C67">
          <w:pPr>
            <w:pStyle w:val="Header"/>
            <w:rPr>
              <w:lang w:val="bg-BG"/>
            </w:rPr>
          </w:pPr>
        </w:p>
      </w:tc>
      <w:tc>
        <w:tcPr>
          <w:tcW w:w="2823" w:type="dxa"/>
        </w:tcPr>
        <w:p w14:paraId="7B7A6BEA" w14:textId="7BF2D2FB" w:rsidR="00452C67" w:rsidRDefault="00452C67" w:rsidP="00452C67">
          <w:pPr>
            <w:spacing w:after="0"/>
            <w:jc w:val="center"/>
            <w:rPr>
              <w:b/>
              <w:noProof/>
            </w:rPr>
          </w:pPr>
        </w:p>
      </w:tc>
      <w:tc>
        <w:tcPr>
          <w:tcW w:w="3614" w:type="dxa"/>
          <w:shd w:val="clear" w:color="auto" w:fill="auto"/>
        </w:tcPr>
        <w:p w14:paraId="228AE44C" w14:textId="6A28C488" w:rsidR="00452C67" w:rsidRPr="006D1DB2" w:rsidRDefault="00452C67" w:rsidP="00452C67">
          <w:pPr>
            <w:spacing w:after="0"/>
            <w:jc w:val="right"/>
            <w:rPr>
              <w:b/>
            </w:rPr>
          </w:pPr>
        </w:p>
      </w:tc>
    </w:tr>
  </w:tbl>
  <w:p w14:paraId="4D7D2490" w14:textId="77777777" w:rsidR="00452C67" w:rsidRDefault="00452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1A0"/>
    <w:multiLevelType w:val="multilevel"/>
    <w:tmpl w:val="335E1FC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9034D75"/>
    <w:multiLevelType w:val="multilevel"/>
    <w:tmpl w:val="84D441C2"/>
    <w:lvl w:ilvl="0">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F49727A"/>
    <w:multiLevelType w:val="hybridMultilevel"/>
    <w:tmpl w:val="27EE423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26A53992"/>
    <w:multiLevelType w:val="hybridMultilevel"/>
    <w:tmpl w:val="872418C8"/>
    <w:lvl w:ilvl="0" w:tplc="1932F782">
      <w:start w:val="1"/>
      <w:numFmt w:val="decimal"/>
      <w:lvlText w:val="%1."/>
      <w:lvlJc w:val="left"/>
      <w:pPr>
        <w:ind w:left="720" w:hanging="360"/>
      </w:pPr>
      <w:rPr>
        <w:rFonts w:ascii="Times New Roman" w:hAnsi="Times New Roman" w:cs="Times New Roman" w:hint="default"/>
        <w:color w:val="000000" w:themeColor="dark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F4D3D69"/>
    <w:multiLevelType w:val="hybridMultilevel"/>
    <w:tmpl w:val="670E030E"/>
    <w:lvl w:ilvl="0" w:tplc="99B8CCA4">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53544FA"/>
    <w:multiLevelType w:val="multilevel"/>
    <w:tmpl w:val="CAF0F77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6416E06"/>
    <w:multiLevelType w:val="multilevel"/>
    <w:tmpl w:val="924C09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72468ED"/>
    <w:multiLevelType w:val="hybridMultilevel"/>
    <w:tmpl w:val="0DD4DDA4"/>
    <w:lvl w:ilvl="0" w:tplc="04020011">
      <w:start w:val="1"/>
      <w:numFmt w:val="decimal"/>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58D47F5E"/>
    <w:multiLevelType w:val="multilevel"/>
    <w:tmpl w:val="335E1FCC"/>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nsid w:val="68026CBD"/>
    <w:multiLevelType w:val="hybridMultilevel"/>
    <w:tmpl w:val="B1E888E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6DD95C6B"/>
    <w:multiLevelType w:val="multilevel"/>
    <w:tmpl w:val="575CC95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8"/>
  </w:num>
  <w:num w:numId="8">
    <w:abstractNumId w:val="10"/>
  </w:num>
  <w:num w:numId="9">
    <w:abstractNumId w:val="1"/>
  </w:num>
  <w:num w:numId="10">
    <w:abstractNumId w:val="5"/>
  </w:num>
  <w:num w:numId="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6DA"/>
    <w:rsid w:val="0000061F"/>
    <w:rsid w:val="00014A9E"/>
    <w:rsid w:val="000625FB"/>
    <w:rsid w:val="0007191D"/>
    <w:rsid w:val="000824D5"/>
    <w:rsid w:val="00097137"/>
    <w:rsid w:val="000C7DB1"/>
    <w:rsid w:val="000D637B"/>
    <w:rsid w:val="000E7057"/>
    <w:rsid w:val="0010098E"/>
    <w:rsid w:val="00105FCC"/>
    <w:rsid w:val="00111EE4"/>
    <w:rsid w:val="00120E30"/>
    <w:rsid w:val="00124D9E"/>
    <w:rsid w:val="00126E76"/>
    <w:rsid w:val="00140221"/>
    <w:rsid w:val="00141337"/>
    <w:rsid w:val="001426CE"/>
    <w:rsid w:val="00144B7F"/>
    <w:rsid w:val="001546AD"/>
    <w:rsid w:val="00156CE0"/>
    <w:rsid w:val="00161F63"/>
    <w:rsid w:val="00167EA4"/>
    <w:rsid w:val="00172572"/>
    <w:rsid w:val="001A4855"/>
    <w:rsid w:val="001C007E"/>
    <w:rsid w:val="001C3EF1"/>
    <w:rsid w:val="001D064B"/>
    <w:rsid w:val="001D1325"/>
    <w:rsid w:val="001D7A15"/>
    <w:rsid w:val="001E223D"/>
    <w:rsid w:val="001E7B9C"/>
    <w:rsid w:val="00202B7E"/>
    <w:rsid w:val="00205CA4"/>
    <w:rsid w:val="002223E2"/>
    <w:rsid w:val="00231866"/>
    <w:rsid w:val="00256DE1"/>
    <w:rsid w:val="00261473"/>
    <w:rsid w:val="0026387B"/>
    <w:rsid w:val="002900EA"/>
    <w:rsid w:val="00291519"/>
    <w:rsid w:val="00293D88"/>
    <w:rsid w:val="002A1FEE"/>
    <w:rsid w:val="002A2E82"/>
    <w:rsid w:val="002B132C"/>
    <w:rsid w:val="002C2C9C"/>
    <w:rsid w:val="002D3086"/>
    <w:rsid w:val="002F03B3"/>
    <w:rsid w:val="002F6593"/>
    <w:rsid w:val="002F75AC"/>
    <w:rsid w:val="003537AF"/>
    <w:rsid w:val="003661C0"/>
    <w:rsid w:val="00372C76"/>
    <w:rsid w:val="003775BB"/>
    <w:rsid w:val="00383E4C"/>
    <w:rsid w:val="00387A79"/>
    <w:rsid w:val="00397000"/>
    <w:rsid w:val="003A035D"/>
    <w:rsid w:val="003B47B2"/>
    <w:rsid w:val="003C14B6"/>
    <w:rsid w:val="003D08A3"/>
    <w:rsid w:val="003D1B04"/>
    <w:rsid w:val="003E11B3"/>
    <w:rsid w:val="003E55E3"/>
    <w:rsid w:val="003F111E"/>
    <w:rsid w:val="0040797D"/>
    <w:rsid w:val="00414D98"/>
    <w:rsid w:val="00422B0D"/>
    <w:rsid w:val="004318E7"/>
    <w:rsid w:val="00432000"/>
    <w:rsid w:val="00432260"/>
    <w:rsid w:val="004325E4"/>
    <w:rsid w:val="00451C2C"/>
    <w:rsid w:val="00452C67"/>
    <w:rsid w:val="00462ED5"/>
    <w:rsid w:val="0046736C"/>
    <w:rsid w:val="00467F1B"/>
    <w:rsid w:val="00481C31"/>
    <w:rsid w:val="00485266"/>
    <w:rsid w:val="004956DA"/>
    <w:rsid w:val="004A14C7"/>
    <w:rsid w:val="004B29A2"/>
    <w:rsid w:val="004C6212"/>
    <w:rsid w:val="004F0B05"/>
    <w:rsid w:val="004F56E6"/>
    <w:rsid w:val="00506D85"/>
    <w:rsid w:val="00516642"/>
    <w:rsid w:val="0052012B"/>
    <w:rsid w:val="005231FE"/>
    <w:rsid w:val="005346C6"/>
    <w:rsid w:val="00543AE8"/>
    <w:rsid w:val="00555C37"/>
    <w:rsid w:val="005622CB"/>
    <w:rsid w:val="00562651"/>
    <w:rsid w:val="00566002"/>
    <w:rsid w:val="00580622"/>
    <w:rsid w:val="005811E2"/>
    <w:rsid w:val="005A036C"/>
    <w:rsid w:val="005A2882"/>
    <w:rsid w:val="005C450E"/>
    <w:rsid w:val="005E7C10"/>
    <w:rsid w:val="005F4859"/>
    <w:rsid w:val="00600F84"/>
    <w:rsid w:val="006015CE"/>
    <w:rsid w:val="00602ED1"/>
    <w:rsid w:val="00604F5C"/>
    <w:rsid w:val="00634FF1"/>
    <w:rsid w:val="0063749A"/>
    <w:rsid w:val="0065312C"/>
    <w:rsid w:val="00667809"/>
    <w:rsid w:val="00675726"/>
    <w:rsid w:val="006B02B7"/>
    <w:rsid w:val="006D511E"/>
    <w:rsid w:val="006E48BA"/>
    <w:rsid w:val="007070E3"/>
    <w:rsid w:val="00711547"/>
    <w:rsid w:val="00724BFD"/>
    <w:rsid w:val="00730142"/>
    <w:rsid w:val="007312A6"/>
    <w:rsid w:val="00756604"/>
    <w:rsid w:val="00756624"/>
    <w:rsid w:val="007660C2"/>
    <w:rsid w:val="00780D8D"/>
    <w:rsid w:val="007872D4"/>
    <w:rsid w:val="007D3BA0"/>
    <w:rsid w:val="00814028"/>
    <w:rsid w:val="008335D4"/>
    <w:rsid w:val="00834CE3"/>
    <w:rsid w:val="00840E45"/>
    <w:rsid w:val="00843D0B"/>
    <w:rsid w:val="00843D90"/>
    <w:rsid w:val="00850D98"/>
    <w:rsid w:val="00851261"/>
    <w:rsid w:val="00885A15"/>
    <w:rsid w:val="008B4FC5"/>
    <w:rsid w:val="008C5A1B"/>
    <w:rsid w:val="008D6752"/>
    <w:rsid w:val="008E19E3"/>
    <w:rsid w:val="008F3BED"/>
    <w:rsid w:val="0090209B"/>
    <w:rsid w:val="009056C7"/>
    <w:rsid w:val="00906E8E"/>
    <w:rsid w:val="0093363E"/>
    <w:rsid w:val="00934E88"/>
    <w:rsid w:val="00944E28"/>
    <w:rsid w:val="009507F4"/>
    <w:rsid w:val="00973712"/>
    <w:rsid w:val="00991B23"/>
    <w:rsid w:val="009923FE"/>
    <w:rsid w:val="009D1CB3"/>
    <w:rsid w:val="009E63CB"/>
    <w:rsid w:val="009F2882"/>
    <w:rsid w:val="00A02789"/>
    <w:rsid w:val="00A03497"/>
    <w:rsid w:val="00A03C30"/>
    <w:rsid w:val="00A05F75"/>
    <w:rsid w:val="00A16C53"/>
    <w:rsid w:val="00A24774"/>
    <w:rsid w:val="00A61543"/>
    <w:rsid w:val="00A65BC8"/>
    <w:rsid w:val="00A829E2"/>
    <w:rsid w:val="00A945A3"/>
    <w:rsid w:val="00AB4578"/>
    <w:rsid w:val="00AC3339"/>
    <w:rsid w:val="00AC7869"/>
    <w:rsid w:val="00AD2C05"/>
    <w:rsid w:val="00AD5EC3"/>
    <w:rsid w:val="00AE4196"/>
    <w:rsid w:val="00AE511E"/>
    <w:rsid w:val="00B1425E"/>
    <w:rsid w:val="00B250B0"/>
    <w:rsid w:val="00B4047F"/>
    <w:rsid w:val="00B4269E"/>
    <w:rsid w:val="00B81D90"/>
    <w:rsid w:val="00B82D35"/>
    <w:rsid w:val="00B9455B"/>
    <w:rsid w:val="00B94F36"/>
    <w:rsid w:val="00B95DA6"/>
    <w:rsid w:val="00BB18DF"/>
    <w:rsid w:val="00BB63A9"/>
    <w:rsid w:val="00BB71A5"/>
    <w:rsid w:val="00BB7B2E"/>
    <w:rsid w:val="00BC3AF6"/>
    <w:rsid w:val="00BD0178"/>
    <w:rsid w:val="00BD6DBA"/>
    <w:rsid w:val="00BD7DF7"/>
    <w:rsid w:val="00BE67BF"/>
    <w:rsid w:val="00BF3A91"/>
    <w:rsid w:val="00C012C9"/>
    <w:rsid w:val="00C065A1"/>
    <w:rsid w:val="00C1437C"/>
    <w:rsid w:val="00C25C80"/>
    <w:rsid w:val="00C37B69"/>
    <w:rsid w:val="00C719ED"/>
    <w:rsid w:val="00C75994"/>
    <w:rsid w:val="00C8104D"/>
    <w:rsid w:val="00C82AD2"/>
    <w:rsid w:val="00C951A9"/>
    <w:rsid w:val="00C953C5"/>
    <w:rsid w:val="00CB0D0C"/>
    <w:rsid w:val="00CB1B90"/>
    <w:rsid w:val="00CB7FBA"/>
    <w:rsid w:val="00CC68BB"/>
    <w:rsid w:val="00CD0D32"/>
    <w:rsid w:val="00CD3B7A"/>
    <w:rsid w:val="00CE1325"/>
    <w:rsid w:val="00D17781"/>
    <w:rsid w:val="00D40C55"/>
    <w:rsid w:val="00D62047"/>
    <w:rsid w:val="00D639D5"/>
    <w:rsid w:val="00D67D81"/>
    <w:rsid w:val="00D7681A"/>
    <w:rsid w:val="00D8674B"/>
    <w:rsid w:val="00D90374"/>
    <w:rsid w:val="00DF2584"/>
    <w:rsid w:val="00DF3919"/>
    <w:rsid w:val="00E052E5"/>
    <w:rsid w:val="00E15033"/>
    <w:rsid w:val="00E15BAA"/>
    <w:rsid w:val="00E16F4D"/>
    <w:rsid w:val="00E17A6E"/>
    <w:rsid w:val="00E32D63"/>
    <w:rsid w:val="00E41E53"/>
    <w:rsid w:val="00E54682"/>
    <w:rsid w:val="00E576D7"/>
    <w:rsid w:val="00E67689"/>
    <w:rsid w:val="00E67C4C"/>
    <w:rsid w:val="00E72B19"/>
    <w:rsid w:val="00EB66D3"/>
    <w:rsid w:val="00EB678A"/>
    <w:rsid w:val="00ED0D84"/>
    <w:rsid w:val="00F00D81"/>
    <w:rsid w:val="00F04B63"/>
    <w:rsid w:val="00F055FA"/>
    <w:rsid w:val="00F12F1E"/>
    <w:rsid w:val="00F21B90"/>
    <w:rsid w:val="00F334F0"/>
    <w:rsid w:val="00F374EE"/>
    <w:rsid w:val="00F41861"/>
    <w:rsid w:val="00F519FD"/>
    <w:rsid w:val="00F56301"/>
    <w:rsid w:val="00F851CB"/>
    <w:rsid w:val="00FB06B0"/>
    <w:rsid w:val="00FD4935"/>
    <w:rsid w:val="00FD661B"/>
    <w:rsid w:val="00FE098F"/>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19"/>
    <w:pPr>
      <w:spacing w:before="120"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19"/>
    <w:pPr>
      <w:ind w:left="720"/>
      <w:contextualSpacing/>
    </w:pPr>
  </w:style>
  <w:style w:type="paragraph" w:styleId="Header">
    <w:name w:val="header"/>
    <w:aliases w:val="hd,Header Titlos Prosforas,Titlos Prosforas,encabezado,ho,header odd,Headertext,Heade,En-tête UE,Header Char2,Header Char Char,hd Char Char,Header Titlos Prosforas Char Char,Titlos Prosforas Char Char,encabezado Char Char,ho Char Char"/>
    <w:basedOn w:val="Normal"/>
    <w:link w:val="HeaderChar"/>
    <w:uiPriority w:val="99"/>
    <w:unhideWhenUsed/>
    <w:rsid w:val="004325E4"/>
    <w:pPr>
      <w:tabs>
        <w:tab w:val="center" w:pos="4680"/>
        <w:tab w:val="right" w:pos="9360"/>
      </w:tabs>
      <w:spacing w:before="0" w:after="0"/>
    </w:pPr>
  </w:style>
  <w:style w:type="character" w:customStyle="1" w:styleId="HeaderChar">
    <w:name w:val="Header Char"/>
    <w:aliases w:val="hd Char,Header Titlos Prosforas Char,Titlos Prosforas Char,encabezado Char,ho Char,header odd Char,Headertext Char,Heade Char,En-tête UE Char,Header Char2 Char,Header Char Char Char,hd Char Char Char,Header Titlos Prosforas Char Char Char"/>
    <w:basedOn w:val="DefaultParagraphFont"/>
    <w:link w:val="Header"/>
    <w:uiPriority w:val="99"/>
    <w:rsid w:val="004325E4"/>
    <w:rPr>
      <w:rFonts w:ascii="Times New Roman" w:hAnsi="Times New Roman"/>
      <w:sz w:val="24"/>
    </w:rPr>
  </w:style>
  <w:style w:type="paragraph" w:styleId="Footer">
    <w:name w:val="footer"/>
    <w:basedOn w:val="Normal"/>
    <w:link w:val="FooterChar"/>
    <w:uiPriority w:val="99"/>
    <w:unhideWhenUsed/>
    <w:rsid w:val="004325E4"/>
    <w:pPr>
      <w:tabs>
        <w:tab w:val="center" w:pos="4680"/>
        <w:tab w:val="right" w:pos="9360"/>
      </w:tabs>
      <w:spacing w:before="0" w:after="0"/>
    </w:pPr>
  </w:style>
  <w:style w:type="character" w:customStyle="1" w:styleId="FooterChar">
    <w:name w:val="Footer Char"/>
    <w:basedOn w:val="DefaultParagraphFont"/>
    <w:link w:val="Footer"/>
    <w:uiPriority w:val="99"/>
    <w:rsid w:val="004325E4"/>
    <w:rPr>
      <w:rFonts w:ascii="Times New Roman" w:hAnsi="Times New Roman"/>
      <w:sz w:val="24"/>
    </w:rPr>
  </w:style>
  <w:style w:type="paragraph" w:styleId="BalloonText">
    <w:name w:val="Balloon Text"/>
    <w:basedOn w:val="Normal"/>
    <w:link w:val="BalloonTextChar"/>
    <w:uiPriority w:val="99"/>
    <w:semiHidden/>
    <w:unhideWhenUsed/>
    <w:rsid w:val="001D7A1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15"/>
    <w:rPr>
      <w:rFonts w:ascii="Tahoma" w:hAnsi="Tahoma" w:cs="Tahoma"/>
      <w:sz w:val="16"/>
      <w:szCs w:val="16"/>
    </w:rPr>
  </w:style>
  <w:style w:type="character" w:styleId="Hyperlink">
    <w:name w:val="Hyperlink"/>
    <w:basedOn w:val="DefaultParagraphFont"/>
    <w:uiPriority w:val="99"/>
    <w:unhideWhenUsed/>
    <w:rsid w:val="00452C67"/>
    <w:rPr>
      <w:color w:val="0563C1" w:themeColor="hyperlink"/>
      <w:u w:val="single"/>
    </w:rPr>
  </w:style>
  <w:style w:type="paragraph" w:customStyle="1" w:styleId="Style2">
    <w:name w:val="Style2"/>
    <w:basedOn w:val="Normal"/>
    <w:uiPriority w:val="99"/>
    <w:rsid w:val="0063749A"/>
    <w:pPr>
      <w:widowControl w:val="0"/>
      <w:autoSpaceDE w:val="0"/>
      <w:autoSpaceDN w:val="0"/>
      <w:adjustRightInd w:val="0"/>
      <w:spacing w:before="0" w:after="0" w:line="288" w:lineRule="exact"/>
      <w:jc w:val="both"/>
    </w:pPr>
    <w:rPr>
      <w:rFonts w:eastAsia="Times New Roman" w:cs="Times New Roman"/>
      <w:szCs w:val="24"/>
      <w:lang w:val="bg-BG" w:eastAsia="bg-BG"/>
    </w:rPr>
  </w:style>
  <w:style w:type="paragraph" w:styleId="NormalWeb">
    <w:name w:val="Normal (Web)"/>
    <w:basedOn w:val="Normal"/>
    <w:uiPriority w:val="99"/>
    <w:semiHidden/>
    <w:unhideWhenUsed/>
    <w:rsid w:val="00E67C4C"/>
    <w:pPr>
      <w:spacing w:before="100" w:beforeAutospacing="1" w:after="100" w:afterAutospacing="1"/>
    </w:pPr>
    <w:rPr>
      <w:rFonts w:eastAsiaTheme="minorEastAsia" w:cs="Times New Roman"/>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19"/>
    <w:pPr>
      <w:spacing w:before="120"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519"/>
    <w:pPr>
      <w:ind w:left="720"/>
      <w:contextualSpacing/>
    </w:pPr>
  </w:style>
  <w:style w:type="paragraph" w:styleId="Header">
    <w:name w:val="header"/>
    <w:aliases w:val="hd,Header Titlos Prosforas,Titlos Prosforas,encabezado,ho,header odd,Headertext,Heade,En-tête UE,Header Char2,Header Char Char,hd Char Char,Header Titlos Prosforas Char Char,Titlos Prosforas Char Char,encabezado Char Char,ho Char Char"/>
    <w:basedOn w:val="Normal"/>
    <w:link w:val="HeaderChar"/>
    <w:uiPriority w:val="99"/>
    <w:unhideWhenUsed/>
    <w:rsid w:val="004325E4"/>
    <w:pPr>
      <w:tabs>
        <w:tab w:val="center" w:pos="4680"/>
        <w:tab w:val="right" w:pos="9360"/>
      </w:tabs>
      <w:spacing w:before="0" w:after="0"/>
    </w:pPr>
  </w:style>
  <w:style w:type="character" w:customStyle="1" w:styleId="HeaderChar">
    <w:name w:val="Header Char"/>
    <w:aliases w:val="hd Char,Header Titlos Prosforas Char,Titlos Prosforas Char,encabezado Char,ho Char,header odd Char,Headertext Char,Heade Char,En-tête UE Char,Header Char2 Char,Header Char Char Char,hd Char Char Char,Header Titlos Prosforas Char Char Char"/>
    <w:basedOn w:val="DefaultParagraphFont"/>
    <w:link w:val="Header"/>
    <w:uiPriority w:val="99"/>
    <w:rsid w:val="004325E4"/>
    <w:rPr>
      <w:rFonts w:ascii="Times New Roman" w:hAnsi="Times New Roman"/>
      <w:sz w:val="24"/>
    </w:rPr>
  </w:style>
  <w:style w:type="paragraph" w:styleId="Footer">
    <w:name w:val="footer"/>
    <w:basedOn w:val="Normal"/>
    <w:link w:val="FooterChar"/>
    <w:uiPriority w:val="99"/>
    <w:unhideWhenUsed/>
    <w:rsid w:val="004325E4"/>
    <w:pPr>
      <w:tabs>
        <w:tab w:val="center" w:pos="4680"/>
        <w:tab w:val="right" w:pos="9360"/>
      </w:tabs>
      <w:spacing w:before="0" w:after="0"/>
    </w:pPr>
  </w:style>
  <w:style w:type="character" w:customStyle="1" w:styleId="FooterChar">
    <w:name w:val="Footer Char"/>
    <w:basedOn w:val="DefaultParagraphFont"/>
    <w:link w:val="Footer"/>
    <w:uiPriority w:val="99"/>
    <w:rsid w:val="004325E4"/>
    <w:rPr>
      <w:rFonts w:ascii="Times New Roman" w:hAnsi="Times New Roman"/>
      <w:sz w:val="24"/>
    </w:rPr>
  </w:style>
  <w:style w:type="paragraph" w:styleId="BalloonText">
    <w:name w:val="Balloon Text"/>
    <w:basedOn w:val="Normal"/>
    <w:link w:val="BalloonTextChar"/>
    <w:uiPriority w:val="99"/>
    <w:semiHidden/>
    <w:unhideWhenUsed/>
    <w:rsid w:val="001D7A1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15"/>
    <w:rPr>
      <w:rFonts w:ascii="Tahoma" w:hAnsi="Tahoma" w:cs="Tahoma"/>
      <w:sz w:val="16"/>
      <w:szCs w:val="16"/>
    </w:rPr>
  </w:style>
  <w:style w:type="character" w:styleId="Hyperlink">
    <w:name w:val="Hyperlink"/>
    <w:basedOn w:val="DefaultParagraphFont"/>
    <w:uiPriority w:val="99"/>
    <w:unhideWhenUsed/>
    <w:rsid w:val="00452C67"/>
    <w:rPr>
      <w:color w:val="0563C1" w:themeColor="hyperlink"/>
      <w:u w:val="single"/>
    </w:rPr>
  </w:style>
  <w:style w:type="paragraph" w:customStyle="1" w:styleId="Style2">
    <w:name w:val="Style2"/>
    <w:basedOn w:val="Normal"/>
    <w:uiPriority w:val="99"/>
    <w:rsid w:val="0063749A"/>
    <w:pPr>
      <w:widowControl w:val="0"/>
      <w:autoSpaceDE w:val="0"/>
      <w:autoSpaceDN w:val="0"/>
      <w:adjustRightInd w:val="0"/>
      <w:spacing w:before="0" w:after="0" w:line="288" w:lineRule="exact"/>
      <w:jc w:val="both"/>
    </w:pPr>
    <w:rPr>
      <w:rFonts w:eastAsia="Times New Roman" w:cs="Times New Roman"/>
      <w:szCs w:val="24"/>
      <w:lang w:val="bg-BG" w:eastAsia="bg-BG"/>
    </w:rPr>
  </w:style>
  <w:style w:type="paragraph" w:styleId="NormalWeb">
    <w:name w:val="Normal (Web)"/>
    <w:basedOn w:val="Normal"/>
    <w:uiPriority w:val="99"/>
    <w:semiHidden/>
    <w:unhideWhenUsed/>
    <w:rsid w:val="00E67C4C"/>
    <w:pPr>
      <w:spacing w:before="100" w:beforeAutospacing="1" w:after="100" w:afterAutospacing="1"/>
    </w:pPr>
    <w:rPr>
      <w:rFonts w:eastAsiaTheme="minorEastAsia" w:cs="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8099">
      <w:bodyDiv w:val="1"/>
      <w:marLeft w:val="0"/>
      <w:marRight w:val="0"/>
      <w:marTop w:val="0"/>
      <w:marBottom w:val="0"/>
      <w:divBdr>
        <w:top w:val="none" w:sz="0" w:space="0" w:color="auto"/>
        <w:left w:val="none" w:sz="0" w:space="0" w:color="auto"/>
        <w:bottom w:val="none" w:sz="0" w:space="0" w:color="auto"/>
        <w:right w:val="none" w:sz="0" w:space="0" w:color="auto"/>
      </w:divBdr>
    </w:div>
    <w:div w:id="167791280">
      <w:bodyDiv w:val="1"/>
      <w:marLeft w:val="0"/>
      <w:marRight w:val="0"/>
      <w:marTop w:val="0"/>
      <w:marBottom w:val="0"/>
      <w:divBdr>
        <w:top w:val="none" w:sz="0" w:space="0" w:color="auto"/>
        <w:left w:val="none" w:sz="0" w:space="0" w:color="auto"/>
        <w:bottom w:val="none" w:sz="0" w:space="0" w:color="auto"/>
        <w:right w:val="none" w:sz="0" w:space="0" w:color="auto"/>
      </w:divBdr>
    </w:div>
    <w:div w:id="481580084">
      <w:bodyDiv w:val="1"/>
      <w:marLeft w:val="0"/>
      <w:marRight w:val="0"/>
      <w:marTop w:val="0"/>
      <w:marBottom w:val="0"/>
      <w:divBdr>
        <w:top w:val="none" w:sz="0" w:space="0" w:color="auto"/>
        <w:left w:val="none" w:sz="0" w:space="0" w:color="auto"/>
        <w:bottom w:val="none" w:sz="0" w:space="0" w:color="auto"/>
        <w:right w:val="none" w:sz="0" w:space="0" w:color="auto"/>
      </w:divBdr>
    </w:div>
    <w:div w:id="525482868">
      <w:bodyDiv w:val="1"/>
      <w:marLeft w:val="0"/>
      <w:marRight w:val="0"/>
      <w:marTop w:val="0"/>
      <w:marBottom w:val="0"/>
      <w:divBdr>
        <w:top w:val="none" w:sz="0" w:space="0" w:color="auto"/>
        <w:left w:val="none" w:sz="0" w:space="0" w:color="auto"/>
        <w:bottom w:val="none" w:sz="0" w:space="0" w:color="auto"/>
        <w:right w:val="none" w:sz="0" w:space="0" w:color="auto"/>
      </w:divBdr>
    </w:div>
    <w:div w:id="1536190528">
      <w:bodyDiv w:val="1"/>
      <w:marLeft w:val="0"/>
      <w:marRight w:val="0"/>
      <w:marTop w:val="0"/>
      <w:marBottom w:val="0"/>
      <w:divBdr>
        <w:top w:val="none" w:sz="0" w:space="0" w:color="auto"/>
        <w:left w:val="none" w:sz="0" w:space="0" w:color="auto"/>
        <w:bottom w:val="none" w:sz="0" w:space="0" w:color="auto"/>
        <w:right w:val="none" w:sz="0" w:space="0" w:color="auto"/>
      </w:divBdr>
    </w:div>
    <w:div w:id="16077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ofia.bg/web/guest/op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423D-164B-4B16-8105-F27E625D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cp:lastModifiedBy>
  <cp:revision>3</cp:revision>
  <dcterms:created xsi:type="dcterms:W3CDTF">2020-05-13T07:52:00Z</dcterms:created>
  <dcterms:modified xsi:type="dcterms:W3CDTF">2020-05-13T07:55:00Z</dcterms:modified>
</cp:coreProperties>
</file>