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0FB80C" w14:textId="77777777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4564125F" w14:textId="4C8878C8" w:rsidR="00E06130" w:rsidRPr="00303837" w:rsidRDefault="004832B9" w:rsidP="00E06130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751CE4" w:rsidRPr="00303837">
        <w:rPr>
          <w:rFonts w:ascii="Times New Roman" w:eastAsia="Times New Roman" w:hAnsi="Times New Roman" w:cs="Times New Roman"/>
          <w:b/>
          <w:lang w:eastAsia="bg-BG"/>
        </w:rPr>
        <w:t xml:space="preserve">„ЦЕНТЪР ЗА </w:t>
      </w:r>
      <w:r w:rsidR="00941BDA" w:rsidRPr="00303837">
        <w:rPr>
          <w:rFonts w:ascii="Times New Roman" w:eastAsia="Times New Roman" w:hAnsi="Times New Roman" w:cs="Times New Roman"/>
          <w:b/>
          <w:lang w:eastAsia="bg-BG"/>
        </w:rPr>
        <w:t>РАБОТА С ДЕЦА НА УЛИЦАТА</w:t>
      </w:r>
      <w:r w:rsidR="00751CE4" w:rsidRPr="00303837">
        <w:rPr>
          <w:rFonts w:ascii="Times New Roman" w:eastAsia="Times New Roman" w:hAnsi="Times New Roman" w:cs="Times New Roman"/>
          <w:b/>
          <w:lang w:eastAsia="bg-BG"/>
        </w:rPr>
        <w:t xml:space="preserve">“ </w:t>
      </w:r>
      <w:r w:rsidR="00FE13CE" w:rsidRPr="00FE13CE">
        <w:rPr>
          <w:rFonts w:ascii="Times New Roman" w:eastAsia="Times New Roman" w:hAnsi="Times New Roman" w:cs="Times New Roman"/>
          <w:b/>
          <w:lang w:eastAsia="bg-BG"/>
        </w:rPr>
        <w:t xml:space="preserve">С ОСНОВНИ ДЕЙНОСТИ: „ИНФОРМИРАНЕ И КОНСУЛТИРАНЕ“, „ЗАСТЪПНИЧЕСТВО И ПОСРЕДНИЧЕСТВО“, „ТЕРАПИЯ И РЕХАБИЛИТАЦИЯ“, „ОБУЧЕНИЕ ЗА ПРИДОБИВАНЕ НА УМЕНИЯ“, „ОБЩНОСТНА РАБОТА“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НА ТЕРИТОРИЯТА НА СТОЛИЧНА ОБЩИНА </w:t>
      </w:r>
    </w:p>
    <w:p w14:paraId="7D28FCF9" w14:textId="77777777" w:rsidR="0038028D" w:rsidRPr="00303837" w:rsidRDefault="0038028D" w:rsidP="0089721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287DCE93" w14:textId="07CF30D7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423A5D" w:rsidRPr="00423A5D">
        <w:rPr>
          <w:rFonts w:ascii="Times New Roman" w:eastAsia="Times New Roman" w:hAnsi="Times New Roman" w:cs="Times New Roman"/>
          <w:lang w:val="en-US" w:eastAsia="bg-BG"/>
        </w:rPr>
        <w:t>I</w:t>
      </w:r>
      <w:r w:rsidR="00124404">
        <w:rPr>
          <w:rFonts w:ascii="Times New Roman" w:eastAsia="Times New Roman" w:hAnsi="Times New Roman" w:cs="Times New Roman"/>
          <w:lang w:eastAsia="bg-BG"/>
        </w:rPr>
        <w:t>, 5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7E34D8E5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2696AE3A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</w:t>
            </w:r>
            <w:r w:rsidR="004C5728" w:rsidRPr="00303837">
              <w:rPr>
                <w:sz w:val="22"/>
                <w:szCs w:val="22"/>
              </w:rPr>
              <w:lastRenderedPageBreak/>
              <w:t xml:space="preserve">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9AC9574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3D2B03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C77DB37" w14:textId="77777777" w:rsidR="002A3C63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21B79B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18D7AFF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BB43944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C05BB20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2E87C4D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F564A5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230381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A4A458E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942FCB" w14:textId="77777777" w:rsidR="002E306D" w:rsidRDefault="002E306D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5D1B6C" w14:textId="7651F613" w:rsidR="00D97831" w:rsidRPr="000E5945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665EFC" w:rsidRDefault="00602774" w:rsidP="00897211">
      <w:pPr>
        <w:pStyle w:val="BodyText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BodyText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0030F84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AD6CF0">
        <w:rPr>
          <w:rFonts w:ascii="Times New Roman" w:hAnsi="Times New Roman" w:cs="Times New Roman"/>
        </w:rPr>
        <w:t>+Е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70C403A" w14:textId="1A59AC50" w:rsidR="008A179C" w:rsidRDefault="00BA75BF" w:rsidP="008A17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Д=Д1+Д</w:t>
      </w:r>
      <w:r w:rsidR="002E306D">
        <w:rPr>
          <w:rFonts w:ascii="Times New Roman" w:hAnsi="Times New Roman" w:cs="Times New Roman"/>
        </w:rPr>
        <w:t>2</w:t>
      </w:r>
      <w:r w:rsidR="008A179C">
        <w:rPr>
          <w:rFonts w:ascii="Times New Roman" w:hAnsi="Times New Roman" w:cs="Times New Roman"/>
        </w:rPr>
        <w:t>,</w:t>
      </w:r>
      <w:r w:rsidR="008A179C" w:rsidRPr="008A179C">
        <w:rPr>
          <w:rFonts w:ascii="Times New Roman" w:hAnsi="Times New Roman" w:cs="Times New Roman"/>
        </w:rPr>
        <w:t xml:space="preserve"> </w:t>
      </w:r>
      <w:r w:rsidR="008A179C">
        <w:rPr>
          <w:rFonts w:ascii="Times New Roman" w:hAnsi="Times New Roman" w:cs="Times New Roman"/>
        </w:rPr>
        <w:t>к</w:t>
      </w:r>
      <w:r w:rsidR="008A179C" w:rsidRPr="00BA6C84">
        <w:rPr>
          <w:rFonts w:ascii="Times New Roman" w:hAnsi="Times New Roman" w:cs="Times New Roman"/>
        </w:rPr>
        <w:t>ъдето</w:t>
      </w:r>
      <w:r w:rsidR="008A179C">
        <w:rPr>
          <w:rFonts w:ascii="Times New Roman" w:hAnsi="Times New Roman" w:cs="Times New Roman"/>
        </w:rPr>
        <w:t>:</w:t>
      </w:r>
    </w:p>
    <w:p w14:paraId="1FF41A1D" w14:textId="77777777" w:rsidR="0037019B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311F7642" w14:textId="77777777" w:rsidR="00AD6CF0" w:rsidRDefault="00AD6CF0" w:rsidP="00897211">
      <w:pPr>
        <w:spacing w:after="0" w:line="240" w:lineRule="auto"/>
        <w:rPr>
          <w:rFonts w:ascii="Times New Roman" w:hAnsi="Times New Roman" w:cs="Times New Roman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729A808E" w14:textId="77777777" w:rsidR="0037019B" w:rsidRPr="00303837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53DEA887" w14:textId="77777777" w:rsidR="0037019B" w:rsidRPr="00AD6CF0" w:rsidRDefault="0037019B" w:rsidP="0037019B">
      <w:pPr>
        <w:spacing w:after="0" w:line="240" w:lineRule="auto"/>
        <w:rPr>
          <w:rFonts w:ascii="Times New Roman" w:hAnsi="Times New Roman" w:cs="Times New Roman"/>
        </w:rPr>
      </w:pPr>
      <w:r w:rsidRPr="00AD6CF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е Материална база</w:t>
      </w:r>
    </w:p>
    <w:p w14:paraId="329B6AE6" w14:textId="77777777" w:rsidR="009913AA" w:rsidRPr="00665EFC" w:rsidRDefault="009913AA" w:rsidP="00897211">
      <w:pPr>
        <w:pStyle w:val="BodyText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BodyText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6C62-D895-4871-BC76-E4177AE2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1561</Words>
  <Characters>8899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2</cp:revision>
  <cp:lastPrinted>2021-02-19T09:28:00Z</cp:lastPrinted>
  <dcterms:created xsi:type="dcterms:W3CDTF">2022-02-16T12:30:00Z</dcterms:created>
  <dcterms:modified xsi:type="dcterms:W3CDTF">2022-02-16T12:30:00Z</dcterms:modified>
</cp:coreProperties>
</file>