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E7D5" w14:textId="77777777" w:rsidR="00117C3A" w:rsidRPr="00411562" w:rsidRDefault="00117C3A" w:rsidP="00117C3A">
      <w:pPr>
        <w:pStyle w:val="Title"/>
        <w:spacing w:after="240" w:line="240" w:lineRule="auto"/>
        <w:jc w:val="right"/>
        <w:rPr>
          <w:rFonts w:ascii="Times New Roman" w:hAnsi="Times New Roman" w:cs="Times New Roman"/>
          <w:b/>
          <w:bCs/>
          <w:sz w:val="24"/>
          <w:szCs w:val="24"/>
          <w:lang w:val="bg-BG"/>
        </w:rPr>
      </w:pPr>
      <w:r w:rsidRPr="00411562">
        <w:rPr>
          <w:rFonts w:ascii="Times New Roman" w:hAnsi="Times New Roman" w:cs="Times New Roman"/>
          <w:b/>
          <w:bCs/>
          <w:sz w:val="24"/>
          <w:szCs w:val="24"/>
          <w:lang w:val="bg-BG"/>
        </w:rPr>
        <w:t>проект</w:t>
      </w:r>
    </w:p>
    <w:p w14:paraId="2C67C74C" w14:textId="77777777" w:rsidR="00117C3A" w:rsidRPr="00FE5A9C" w:rsidRDefault="00117C3A" w:rsidP="00117C3A">
      <w:pPr>
        <w:spacing w:after="240" w:line="240" w:lineRule="auto"/>
        <w:rPr>
          <w:lang w:val="bg-BG"/>
        </w:rPr>
      </w:pPr>
    </w:p>
    <w:p w14:paraId="24557E2F" w14:textId="77777777" w:rsidR="00117C3A" w:rsidRDefault="00117C3A" w:rsidP="00117C3A">
      <w:pPr>
        <w:pStyle w:val="Title"/>
        <w:spacing w:after="240" w:line="240" w:lineRule="auto"/>
        <w:rPr>
          <w:rFonts w:ascii="Times New Roman" w:hAnsi="Times New Roman" w:cs="Times New Roman"/>
          <w:sz w:val="80"/>
          <w:szCs w:val="80"/>
          <w:lang w:val="bg-BG"/>
        </w:rPr>
      </w:pPr>
    </w:p>
    <w:p w14:paraId="7ED6A72A" w14:textId="77777777" w:rsidR="00117C3A" w:rsidRDefault="00117C3A" w:rsidP="00117C3A">
      <w:pPr>
        <w:pStyle w:val="Title"/>
        <w:spacing w:after="240" w:line="240" w:lineRule="auto"/>
        <w:rPr>
          <w:rFonts w:ascii="Times New Roman" w:hAnsi="Times New Roman" w:cs="Times New Roman"/>
          <w:sz w:val="80"/>
          <w:szCs w:val="80"/>
          <w:lang w:val="bg-BG"/>
        </w:rPr>
      </w:pPr>
    </w:p>
    <w:p w14:paraId="0BD7EB26" w14:textId="77777777" w:rsidR="00117C3A" w:rsidRDefault="00117C3A" w:rsidP="00117C3A">
      <w:pPr>
        <w:pStyle w:val="Title"/>
        <w:spacing w:after="240" w:line="240" w:lineRule="auto"/>
        <w:rPr>
          <w:rFonts w:ascii="Times New Roman" w:hAnsi="Times New Roman" w:cs="Times New Roman"/>
          <w:sz w:val="80"/>
          <w:szCs w:val="80"/>
          <w:lang w:val="bg-BG"/>
        </w:rPr>
      </w:pPr>
    </w:p>
    <w:p w14:paraId="7564D210" w14:textId="77777777" w:rsidR="00117C3A" w:rsidRPr="00284FE2" w:rsidRDefault="00117C3A" w:rsidP="00117C3A">
      <w:pPr>
        <w:pStyle w:val="Title"/>
        <w:spacing w:after="240" w:line="240" w:lineRule="auto"/>
        <w:jc w:val="center"/>
        <w:rPr>
          <w:lang w:val="ru-RU"/>
        </w:rPr>
      </w:pPr>
      <w:r w:rsidRPr="00284FE2">
        <w:rPr>
          <w:sz w:val="80"/>
          <w:szCs w:val="80"/>
          <w:lang w:val="bg-BG"/>
        </w:rPr>
        <w:t>ДОКЛАД</w:t>
      </w:r>
    </w:p>
    <w:p w14:paraId="37DBB808" w14:textId="77777777" w:rsidR="00117C3A" w:rsidRPr="00284FE2" w:rsidRDefault="00117C3A" w:rsidP="00117C3A">
      <w:pPr>
        <w:spacing w:after="240" w:line="240" w:lineRule="auto"/>
        <w:jc w:val="center"/>
        <w:rPr>
          <w:rFonts w:ascii="Calibri Light" w:hAnsi="Calibri Light" w:cs="Calibri Light"/>
          <w:noProof/>
          <w:lang w:val="ru-RU" w:eastAsia="en-US"/>
        </w:rPr>
      </w:pPr>
      <w:r w:rsidRPr="00284FE2">
        <w:rPr>
          <w:rFonts w:ascii="Calibri Light" w:hAnsi="Calibri Light" w:cs="Calibri Light"/>
          <w:sz w:val="44"/>
          <w:szCs w:val="44"/>
          <w:lang w:val="ru-RU"/>
        </w:rPr>
        <w:t>КЪМ ПРОЕКТА ЗА БЮДЖЕТ НА СТОЛИЧНА ОБЩИНА ЗА 20</w:t>
      </w:r>
      <w:r>
        <w:rPr>
          <w:rFonts w:ascii="Calibri Light" w:hAnsi="Calibri Light" w:cs="Calibri Light"/>
          <w:sz w:val="44"/>
          <w:szCs w:val="44"/>
          <w:lang w:val="ru-RU"/>
        </w:rPr>
        <w:t>21г.</w:t>
      </w:r>
    </w:p>
    <w:p w14:paraId="032FED71"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60B4B60E"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0FB92529"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4CD359DB"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632AF6BB"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02484B6A"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2A81CF11"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50F18370"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5C4C3C5F"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73B4FCCC"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01531AB8" w14:textId="77777777" w:rsidR="00117C3A" w:rsidRPr="00284FE2" w:rsidRDefault="00117C3A" w:rsidP="00117C3A">
      <w:pPr>
        <w:spacing w:after="240" w:line="240" w:lineRule="auto"/>
        <w:jc w:val="center"/>
        <w:rPr>
          <w:rFonts w:ascii="Calibri Light" w:hAnsi="Calibri Light" w:cs="Calibri Light"/>
          <w:noProof/>
          <w:lang w:val="bg-BG" w:eastAsia="en-US"/>
        </w:rPr>
      </w:pPr>
    </w:p>
    <w:p w14:paraId="6C34BB04" w14:textId="77777777" w:rsidR="00117C3A" w:rsidRDefault="00117C3A" w:rsidP="00117C3A">
      <w:pPr>
        <w:pStyle w:val="Author"/>
        <w:spacing w:after="240" w:line="240" w:lineRule="auto"/>
        <w:jc w:val="center"/>
        <w:rPr>
          <w:rFonts w:ascii="Calibri Light" w:hAnsi="Calibri Light" w:cs="Calibri Light"/>
          <w:sz w:val="24"/>
          <w:szCs w:val="24"/>
          <w:lang w:val="bg-BG"/>
        </w:rPr>
      </w:pPr>
      <w:r>
        <w:rPr>
          <w:rFonts w:ascii="Calibri Light" w:hAnsi="Calibri Light" w:cs="Calibri Light"/>
          <w:sz w:val="24"/>
          <w:szCs w:val="24"/>
          <w:lang w:val="bg-BG"/>
        </w:rPr>
        <w:t>Февруари</w:t>
      </w:r>
      <w:r w:rsidRPr="00284FE2">
        <w:rPr>
          <w:rFonts w:ascii="Calibri Light" w:hAnsi="Calibri Light" w:cs="Calibri Light"/>
          <w:sz w:val="24"/>
          <w:szCs w:val="24"/>
          <w:lang w:val="bg-BG"/>
        </w:rPr>
        <w:t xml:space="preserve"> 20</w:t>
      </w:r>
      <w:r>
        <w:rPr>
          <w:rFonts w:ascii="Calibri Light" w:hAnsi="Calibri Light" w:cs="Calibri Light"/>
          <w:sz w:val="24"/>
          <w:szCs w:val="24"/>
          <w:lang w:val="bg-BG"/>
        </w:rPr>
        <w:t>21</w:t>
      </w:r>
    </w:p>
    <w:p w14:paraId="3DF76ECF" w14:textId="77777777" w:rsidR="004D70F7" w:rsidRPr="00882664" w:rsidRDefault="004D70F7" w:rsidP="00F55B06">
      <w:pPr>
        <w:pStyle w:val="Author"/>
        <w:spacing w:line="240" w:lineRule="auto"/>
        <w:ind w:firstLine="720"/>
        <w:contextualSpacing/>
        <w:jc w:val="center"/>
        <w:rPr>
          <w:rFonts w:ascii="Times New Roman" w:hAnsi="Times New Roman" w:cs="Times New Roman"/>
          <w:color w:val="auto"/>
          <w:sz w:val="28"/>
          <w:szCs w:val="24"/>
          <w:lang w:val="bg-BG"/>
        </w:rPr>
      </w:pPr>
    </w:p>
    <w:p w14:paraId="5862BEDC" w14:textId="77777777" w:rsidR="00BA6FF9"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5F40D895" w14:textId="77777777" w:rsidR="00BA6FF9"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55C1C417" w14:textId="77777777" w:rsidR="00BA6FF9"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058C78C8" w14:textId="77777777" w:rsidR="00BA6FF9"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79023CA3" w14:textId="77777777" w:rsidR="00BA6FF9"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65DD2AF4" w14:textId="77777777" w:rsidR="006F5B92" w:rsidRDefault="006F5B92" w:rsidP="00F55B06">
      <w:pPr>
        <w:spacing w:after="0" w:line="240" w:lineRule="auto"/>
        <w:ind w:firstLine="720"/>
        <w:contextualSpacing/>
        <w:jc w:val="center"/>
        <w:rPr>
          <w:rFonts w:ascii="Times New Roman" w:hAnsi="Times New Roman" w:cs="Times New Roman"/>
          <w:b/>
          <w:bCs/>
          <w:sz w:val="28"/>
          <w:szCs w:val="24"/>
          <w:lang w:val="bg-BG"/>
        </w:rPr>
      </w:pPr>
      <w:r w:rsidRPr="00882664">
        <w:rPr>
          <w:rFonts w:ascii="Times New Roman" w:hAnsi="Times New Roman" w:cs="Times New Roman"/>
          <w:b/>
          <w:bCs/>
          <w:sz w:val="28"/>
          <w:szCs w:val="24"/>
          <w:lang w:val="bg-BG"/>
        </w:rPr>
        <w:t>Съдържание</w:t>
      </w:r>
      <w:bookmarkStart w:id="0" w:name="_GoBack"/>
      <w:bookmarkEnd w:id="0"/>
    </w:p>
    <w:p w14:paraId="70C5C8A6" w14:textId="77777777" w:rsidR="00BA6FF9" w:rsidRPr="00882664" w:rsidRDefault="00BA6FF9" w:rsidP="00F55B06">
      <w:pPr>
        <w:spacing w:after="0" w:line="240" w:lineRule="auto"/>
        <w:ind w:firstLine="720"/>
        <w:contextualSpacing/>
        <w:jc w:val="center"/>
        <w:rPr>
          <w:rFonts w:ascii="Times New Roman" w:hAnsi="Times New Roman" w:cs="Times New Roman"/>
          <w:b/>
          <w:bCs/>
          <w:sz w:val="28"/>
          <w:szCs w:val="24"/>
          <w:lang w:val="bg-BG"/>
        </w:rPr>
      </w:pPr>
    </w:p>
    <w:p w14:paraId="6EAF8BBA" w14:textId="77777777" w:rsidR="005D1D5C" w:rsidRPr="00E81A6E" w:rsidRDefault="005D1D5C" w:rsidP="00F55B06">
      <w:pPr>
        <w:spacing w:after="0" w:line="240" w:lineRule="auto"/>
        <w:ind w:firstLine="720"/>
        <w:contextualSpacing/>
        <w:jc w:val="center"/>
        <w:rPr>
          <w:rFonts w:ascii="Times New Roman" w:hAnsi="Times New Roman" w:cs="Times New Roman"/>
          <w:b/>
          <w:bCs/>
          <w:sz w:val="24"/>
          <w:szCs w:val="24"/>
        </w:rPr>
      </w:pPr>
    </w:p>
    <w:p w14:paraId="5F904F7C" w14:textId="197FCE50" w:rsidR="001E48DD" w:rsidRPr="00E81A6E" w:rsidRDefault="006F5B92" w:rsidP="00882664">
      <w:pPr>
        <w:pStyle w:val="TOC1"/>
        <w:rPr>
          <w:rFonts w:eastAsiaTheme="minorEastAsia"/>
          <w:noProof/>
          <w:lang w:val="bg-BG" w:eastAsia="en-US"/>
        </w:rPr>
      </w:pPr>
      <w:r w:rsidRPr="00E81A6E">
        <w:fldChar w:fldCharType="begin"/>
      </w:r>
      <w:r w:rsidRPr="00E81A6E">
        <w:instrText xml:space="preserve"> TOC \o "1-3" \h \z \u </w:instrText>
      </w:r>
      <w:r w:rsidRPr="00E81A6E">
        <w:fldChar w:fldCharType="separate"/>
      </w:r>
      <w:hyperlink w:anchor="_Toc61971759" w:history="1">
        <w:r w:rsidR="001E48DD" w:rsidRPr="00E81A6E">
          <w:rPr>
            <w:rStyle w:val="Hyperlink"/>
            <w:rFonts w:ascii="Times New Roman" w:hAnsi="Times New Roman" w:cs="Times New Roman"/>
            <w:noProof/>
            <w:color w:val="auto"/>
            <w:lang w:val="ru-RU"/>
          </w:rPr>
          <w:t>РАЗВИТИЕ</w:t>
        </w:r>
        <w:r w:rsidR="00882664">
          <w:rPr>
            <w:rStyle w:val="Hyperlink"/>
            <w:rFonts w:ascii="Times New Roman" w:hAnsi="Times New Roman" w:cs="Times New Roman"/>
            <w:noProof/>
            <w:color w:val="auto"/>
            <w:lang w:val="ru-RU"/>
          </w:rPr>
          <w:t xml:space="preserve"> НА ИКОНОМИКАТА,</w:t>
        </w:r>
        <w:r w:rsidR="001E48DD" w:rsidRPr="00E81A6E">
          <w:rPr>
            <w:rStyle w:val="Hyperlink"/>
            <w:rFonts w:ascii="Times New Roman" w:hAnsi="Times New Roman" w:cs="Times New Roman"/>
            <w:noProof/>
            <w:color w:val="auto"/>
            <w:lang w:val="ru-RU"/>
          </w:rPr>
          <w:t xml:space="preserve"> МАКРОИКОНОМИЧЕСКА ПРОГНОЗА</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_Toc61971759 \h </w:instrText>
        </w:r>
        <w:r w:rsidR="001E48DD" w:rsidRPr="00E81A6E">
          <w:rPr>
            <w:noProof/>
            <w:webHidden/>
          </w:rPr>
        </w:r>
        <w:r w:rsidR="001E48DD" w:rsidRPr="00E81A6E">
          <w:rPr>
            <w:noProof/>
            <w:webHidden/>
          </w:rPr>
          <w:fldChar w:fldCharType="separate"/>
        </w:r>
        <w:r w:rsidR="007629E1">
          <w:rPr>
            <w:noProof/>
            <w:webHidden/>
          </w:rPr>
          <w:t>5</w:t>
        </w:r>
        <w:r w:rsidR="001E48DD" w:rsidRPr="00E81A6E">
          <w:rPr>
            <w:noProof/>
            <w:webHidden/>
          </w:rPr>
          <w:fldChar w:fldCharType="end"/>
        </w:r>
      </w:hyperlink>
    </w:p>
    <w:p w14:paraId="3E463E0F" w14:textId="074C2183" w:rsidR="001E48DD" w:rsidRPr="00E81A6E" w:rsidRDefault="00EE0374" w:rsidP="00117C3A">
      <w:pPr>
        <w:pStyle w:val="TOC2"/>
        <w:ind w:firstLine="720"/>
        <w:contextualSpacing/>
        <w:rPr>
          <w:rFonts w:ascii="Times New Roman" w:eastAsiaTheme="minorEastAsia" w:hAnsi="Times New Roman" w:cs="Times New Roman"/>
          <w:noProof/>
          <w:sz w:val="24"/>
          <w:szCs w:val="24"/>
          <w:lang w:val="bg-BG" w:eastAsia="en-US"/>
        </w:rPr>
      </w:pPr>
      <w:hyperlink w:anchor="_Toc61971762" w:history="1">
        <w:r w:rsidR="001E48DD" w:rsidRPr="00E81A6E">
          <w:rPr>
            <w:rStyle w:val="Hyperlink"/>
            <w:rFonts w:ascii="Times New Roman" w:hAnsi="Times New Roman" w:cs="Times New Roman"/>
            <w:noProof/>
            <w:color w:val="auto"/>
            <w:sz w:val="24"/>
            <w:szCs w:val="24"/>
          </w:rPr>
          <w:t>П</w:t>
        </w:r>
        <w:r w:rsidR="00117C3A">
          <w:rPr>
            <w:rStyle w:val="Hyperlink"/>
            <w:rFonts w:ascii="Times New Roman" w:hAnsi="Times New Roman" w:cs="Times New Roman"/>
            <w:noProof/>
            <w:color w:val="auto"/>
            <w:sz w:val="24"/>
            <w:szCs w:val="24"/>
            <w:lang w:val="bg-BG"/>
          </w:rPr>
          <w:t>реглед на развтитието на икономиката на София</w:t>
        </w:r>
        <w:r w:rsidR="001E48DD" w:rsidRPr="00E81A6E">
          <w:rPr>
            <w:rFonts w:ascii="Times New Roman" w:hAnsi="Times New Roman" w:cs="Times New Roman"/>
            <w:noProof/>
            <w:webHidden/>
            <w:sz w:val="24"/>
            <w:szCs w:val="24"/>
          </w:rPr>
          <w:tab/>
        </w:r>
        <w:r w:rsidR="001E48DD" w:rsidRPr="00E81A6E">
          <w:rPr>
            <w:rFonts w:ascii="Times New Roman" w:hAnsi="Times New Roman" w:cs="Times New Roman"/>
            <w:noProof/>
            <w:webHidden/>
            <w:sz w:val="24"/>
            <w:szCs w:val="24"/>
          </w:rPr>
          <w:fldChar w:fldCharType="begin"/>
        </w:r>
        <w:r w:rsidR="001E48DD" w:rsidRPr="00E81A6E">
          <w:rPr>
            <w:rFonts w:ascii="Times New Roman" w:hAnsi="Times New Roman" w:cs="Times New Roman"/>
            <w:noProof/>
            <w:webHidden/>
            <w:sz w:val="24"/>
            <w:szCs w:val="24"/>
          </w:rPr>
          <w:instrText xml:space="preserve"> PAGEREF _Toc61971762 \h </w:instrText>
        </w:r>
        <w:r w:rsidR="001E48DD" w:rsidRPr="00E81A6E">
          <w:rPr>
            <w:rFonts w:ascii="Times New Roman" w:hAnsi="Times New Roman" w:cs="Times New Roman"/>
            <w:noProof/>
            <w:webHidden/>
            <w:sz w:val="24"/>
            <w:szCs w:val="24"/>
          </w:rPr>
        </w:r>
        <w:r w:rsidR="001E48DD" w:rsidRPr="00E81A6E">
          <w:rPr>
            <w:rFonts w:ascii="Times New Roman" w:hAnsi="Times New Roman" w:cs="Times New Roman"/>
            <w:noProof/>
            <w:webHidden/>
            <w:sz w:val="24"/>
            <w:szCs w:val="24"/>
          </w:rPr>
          <w:fldChar w:fldCharType="separate"/>
        </w:r>
        <w:r w:rsidR="007629E1">
          <w:rPr>
            <w:rFonts w:ascii="Times New Roman" w:hAnsi="Times New Roman" w:cs="Times New Roman"/>
            <w:noProof/>
            <w:webHidden/>
            <w:sz w:val="24"/>
            <w:szCs w:val="24"/>
          </w:rPr>
          <w:t>11</w:t>
        </w:r>
        <w:r w:rsidR="001E48DD" w:rsidRPr="00E81A6E">
          <w:rPr>
            <w:rFonts w:ascii="Times New Roman" w:hAnsi="Times New Roman" w:cs="Times New Roman"/>
            <w:noProof/>
            <w:webHidden/>
            <w:sz w:val="24"/>
            <w:szCs w:val="24"/>
          </w:rPr>
          <w:fldChar w:fldCharType="end"/>
        </w:r>
      </w:hyperlink>
    </w:p>
    <w:p w14:paraId="27C7A283" w14:textId="1518BD96" w:rsidR="001E48DD" w:rsidRPr="00E81A6E" w:rsidRDefault="00EE0374" w:rsidP="00882664">
      <w:pPr>
        <w:pStyle w:val="TOC1"/>
        <w:rPr>
          <w:rFonts w:eastAsiaTheme="minorEastAsia"/>
          <w:noProof/>
          <w:lang w:eastAsia="en-US"/>
        </w:rPr>
      </w:pPr>
      <w:hyperlink w:anchor="_Toc61971764" w:history="1">
        <w:r w:rsidR="001E48DD" w:rsidRPr="00117C3A">
          <w:rPr>
            <w:rStyle w:val="Hyperlink"/>
            <w:rFonts w:ascii="Times New Roman" w:hAnsi="Times New Roman" w:cs="Times New Roman"/>
            <w:iCs/>
            <w:noProof/>
            <w:color w:val="auto"/>
            <w:lang w:val="ru-RU"/>
          </w:rPr>
          <w:t>ИЗПЪЛНЕНИЕ НА БЮДЖЕТ 2020</w:t>
        </w:r>
        <w:r w:rsidR="001E48DD" w:rsidRPr="00117C3A">
          <w:rPr>
            <w:rStyle w:val="Hyperlink"/>
            <w:rFonts w:ascii="Times New Roman" w:hAnsi="Times New Roman" w:cs="Times New Roman"/>
            <w:iCs/>
            <w:noProof/>
            <w:color w:val="auto"/>
            <w:lang w:val="bg-BG"/>
          </w:rPr>
          <w:t>г.</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_Toc61971764 \h </w:instrText>
        </w:r>
        <w:r w:rsidR="001E48DD" w:rsidRPr="00E81A6E">
          <w:rPr>
            <w:noProof/>
            <w:webHidden/>
          </w:rPr>
        </w:r>
        <w:r w:rsidR="001E48DD" w:rsidRPr="00E81A6E">
          <w:rPr>
            <w:noProof/>
            <w:webHidden/>
          </w:rPr>
          <w:fldChar w:fldCharType="separate"/>
        </w:r>
        <w:r w:rsidR="007629E1">
          <w:rPr>
            <w:noProof/>
            <w:webHidden/>
          </w:rPr>
          <w:t>17</w:t>
        </w:r>
        <w:r w:rsidR="001E48DD" w:rsidRPr="00E81A6E">
          <w:rPr>
            <w:noProof/>
            <w:webHidden/>
          </w:rPr>
          <w:fldChar w:fldCharType="end"/>
        </w:r>
      </w:hyperlink>
    </w:p>
    <w:p w14:paraId="30B245FF" w14:textId="4F8E567D" w:rsidR="001E48DD" w:rsidRPr="00E81A6E" w:rsidRDefault="00EE0374" w:rsidP="00882664">
      <w:pPr>
        <w:pStyle w:val="TOC3"/>
        <w:rPr>
          <w:rFonts w:eastAsiaTheme="minorEastAsia"/>
          <w:noProof/>
          <w:lang w:eastAsia="en-US"/>
        </w:rPr>
      </w:pPr>
      <w:hyperlink w:anchor="_Toc61971765" w:history="1">
        <w:r w:rsidR="001E48DD" w:rsidRPr="00E81A6E">
          <w:rPr>
            <w:rStyle w:val="Hyperlink"/>
            <w:rFonts w:ascii="Times New Roman" w:hAnsi="Times New Roman" w:cs="Times New Roman"/>
            <w:noProof/>
            <w:color w:val="auto"/>
            <w:sz w:val="24"/>
            <w:szCs w:val="24"/>
            <w:lang w:val="ru-RU"/>
          </w:rPr>
          <w:t>Изпълнение на приходите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_Toc61971765 \h </w:instrText>
        </w:r>
        <w:r w:rsidR="001E48DD" w:rsidRPr="00E81A6E">
          <w:rPr>
            <w:noProof/>
            <w:webHidden/>
          </w:rPr>
        </w:r>
        <w:r w:rsidR="001E48DD" w:rsidRPr="00E81A6E">
          <w:rPr>
            <w:noProof/>
            <w:webHidden/>
          </w:rPr>
          <w:fldChar w:fldCharType="separate"/>
        </w:r>
        <w:r w:rsidR="007629E1">
          <w:rPr>
            <w:noProof/>
            <w:webHidden/>
          </w:rPr>
          <w:t>18</w:t>
        </w:r>
        <w:r w:rsidR="001E48DD" w:rsidRPr="00E81A6E">
          <w:rPr>
            <w:noProof/>
            <w:webHidden/>
          </w:rPr>
          <w:fldChar w:fldCharType="end"/>
        </w:r>
      </w:hyperlink>
    </w:p>
    <w:p w14:paraId="42340946" w14:textId="49DDD07D" w:rsidR="001E48DD" w:rsidRPr="00E81A6E" w:rsidRDefault="00EE0374" w:rsidP="00882664">
      <w:pPr>
        <w:pStyle w:val="TOC3"/>
        <w:rPr>
          <w:rFonts w:eastAsiaTheme="minorEastAsia"/>
          <w:noProof/>
          <w:lang w:eastAsia="en-US"/>
        </w:rPr>
      </w:pPr>
      <w:hyperlink w:anchor="_Toc61971766" w:history="1">
        <w:r w:rsidR="001E48DD" w:rsidRPr="00E81A6E">
          <w:rPr>
            <w:rStyle w:val="Hyperlink"/>
            <w:rFonts w:ascii="Times New Roman" w:hAnsi="Times New Roman" w:cs="Times New Roman"/>
            <w:noProof/>
            <w:color w:val="auto"/>
            <w:sz w:val="24"/>
            <w:szCs w:val="24"/>
            <w:lang w:val="ru-RU"/>
          </w:rPr>
          <w:t>Изпълнение на разходите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_Toc61971766 \h </w:instrText>
        </w:r>
        <w:r w:rsidR="001E48DD" w:rsidRPr="00E81A6E">
          <w:rPr>
            <w:noProof/>
            <w:webHidden/>
          </w:rPr>
        </w:r>
        <w:r w:rsidR="001E48DD" w:rsidRPr="00E81A6E">
          <w:rPr>
            <w:noProof/>
            <w:webHidden/>
          </w:rPr>
          <w:fldChar w:fldCharType="separate"/>
        </w:r>
        <w:r w:rsidR="007629E1">
          <w:rPr>
            <w:noProof/>
            <w:webHidden/>
          </w:rPr>
          <w:t>22</w:t>
        </w:r>
        <w:r w:rsidR="001E48DD" w:rsidRPr="00E81A6E">
          <w:rPr>
            <w:noProof/>
            <w:webHidden/>
          </w:rPr>
          <w:fldChar w:fldCharType="end"/>
        </w:r>
      </w:hyperlink>
    </w:p>
    <w:p w14:paraId="6154A0C3" w14:textId="6699E6E0" w:rsidR="001E48DD" w:rsidRPr="00E81A6E" w:rsidRDefault="00EE0374" w:rsidP="00882664">
      <w:pPr>
        <w:pStyle w:val="TOC3"/>
        <w:rPr>
          <w:rFonts w:eastAsiaTheme="minorEastAsia"/>
          <w:noProof/>
          <w:lang w:eastAsia="en-US"/>
        </w:rPr>
      </w:pPr>
      <w:hyperlink w:anchor="_Toc61971767" w:history="1">
        <w:r w:rsidR="001E48DD" w:rsidRPr="00E81A6E">
          <w:rPr>
            <w:rStyle w:val="Hyperlink"/>
            <w:rFonts w:ascii="Times New Roman" w:hAnsi="Times New Roman" w:cs="Times New Roman"/>
            <w:noProof/>
            <w:color w:val="auto"/>
            <w:sz w:val="24"/>
            <w:szCs w:val="24"/>
            <w:lang w:val="ru-RU"/>
          </w:rPr>
          <w:t>Изпълнение на Инвестиционната програма</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_Toc61971767 \h </w:instrText>
        </w:r>
        <w:r w:rsidR="001E48DD" w:rsidRPr="00E81A6E">
          <w:rPr>
            <w:noProof/>
            <w:webHidden/>
          </w:rPr>
        </w:r>
        <w:r w:rsidR="001E48DD" w:rsidRPr="00E81A6E">
          <w:rPr>
            <w:noProof/>
            <w:webHidden/>
          </w:rPr>
          <w:fldChar w:fldCharType="separate"/>
        </w:r>
        <w:r w:rsidR="007629E1">
          <w:rPr>
            <w:noProof/>
            <w:webHidden/>
          </w:rPr>
          <w:t>24</w:t>
        </w:r>
        <w:r w:rsidR="001E48DD" w:rsidRPr="00E81A6E">
          <w:rPr>
            <w:noProof/>
            <w:webHidden/>
          </w:rPr>
          <w:fldChar w:fldCharType="end"/>
        </w:r>
      </w:hyperlink>
    </w:p>
    <w:p w14:paraId="06A84CFC" w14:textId="6F89FCC3" w:rsidR="001E48DD" w:rsidRPr="00E81A6E" w:rsidRDefault="00EE0374" w:rsidP="00882664">
      <w:pPr>
        <w:pStyle w:val="TOC1"/>
        <w:rPr>
          <w:rFonts w:eastAsiaTheme="minorEastAsia"/>
          <w:noProof/>
          <w:lang w:eastAsia="en-US"/>
        </w:rPr>
      </w:pPr>
      <w:hyperlink w:anchor="_Toc61971768" w:history="1">
        <w:r w:rsidR="001E48DD" w:rsidRPr="00E81A6E">
          <w:rPr>
            <w:rStyle w:val="Hyperlink"/>
            <w:rFonts w:ascii="Times New Roman" w:hAnsi="Times New Roman" w:cs="Times New Roman"/>
            <w:noProof/>
            <w:color w:val="auto"/>
            <w:lang w:val="ru-RU"/>
          </w:rPr>
          <w:t>БЮДЖЕТ 2021</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_Toc61971768 \h </w:instrText>
        </w:r>
        <w:r w:rsidR="001E48DD" w:rsidRPr="00E81A6E">
          <w:rPr>
            <w:noProof/>
            <w:webHidden/>
          </w:rPr>
        </w:r>
        <w:r w:rsidR="001E48DD" w:rsidRPr="00E81A6E">
          <w:rPr>
            <w:noProof/>
            <w:webHidden/>
          </w:rPr>
          <w:fldChar w:fldCharType="separate"/>
        </w:r>
        <w:r w:rsidR="007629E1">
          <w:rPr>
            <w:noProof/>
            <w:webHidden/>
          </w:rPr>
          <w:t>26</w:t>
        </w:r>
        <w:r w:rsidR="001E48DD" w:rsidRPr="00E81A6E">
          <w:rPr>
            <w:noProof/>
            <w:webHidden/>
          </w:rPr>
          <w:fldChar w:fldCharType="end"/>
        </w:r>
      </w:hyperlink>
    </w:p>
    <w:p w14:paraId="019E017E" w14:textId="0C5227D8" w:rsidR="001E48DD" w:rsidRPr="00E81A6E" w:rsidRDefault="00EE0374" w:rsidP="00882664">
      <w:pPr>
        <w:pStyle w:val="TOC3"/>
        <w:rPr>
          <w:rFonts w:eastAsiaTheme="minorEastAsia"/>
          <w:noProof/>
          <w:lang w:eastAsia="en-US"/>
        </w:rPr>
      </w:pPr>
      <w:hyperlink w:anchor="_Toc61971769" w:history="1">
        <w:r w:rsidR="001E48DD" w:rsidRPr="00E81A6E">
          <w:rPr>
            <w:rStyle w:val="Hyperlink"/>
            <w:rFonts w:ascii="Times New Roman" w:hAnsi="Times New Roman" w:cs="Times New Roman"/>
            <w:noProof/>
            <w:color w:val="auto"/>
            <w:sz w:val="24"/>
            <w:szCs w:val="24"/>
            <w:lang w:val="ru-RU"/>
          </w:rPr>
          <w:t>Д</w:t>
        </w:r>
        <w:r w:rsidR="00117C3A">
          <w:rPr>
            <w:rStyle w:val="Hyperlink"/>
            <w:rFonts w:ascii="Times New Roman" w:hAnsi="Times New Roman" w:cs="Times New Roman"/>
            <w:noProof/>
            <w:color w:val="auto"/>
            <w:sz w:val="24"/>
            <w:szCs w:val="24"/>
            <w:lang w:val="ru-RU"/>
          </w:rPr>
          <w:t>анъчна политика и прогноза за собствените приходи</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_Toc61971769 \h </w:instrText>
        </w:r>
        <w:r w:rsidR="001E48DD" w:rsidRPr="00E81A6E">
          <w:rPr>
            <w:noProof/>
            <w:webHidden/>
          </w:rPr>
        </w:r>
        <w:r w:rsidR="001E48DD" w:rsidRPr="00E81A6E">
          <w:rPr>
            <w:noProof/>
            <w:webHidden/>
          </w:rPr>
          <w:fldChar w:fldCharType="separate"/>
        </w:r>
        <w:r w:rsidR="007629E1">
          <w:rPr>
            <w:noProof/>
            <w:webHidden/>
          </w:rPr>
          <w:t>26</w:t>
        </w:r>
        <w:r w:rsidR="001E48DD" w:rsidRPr="00E81A6E">
          <w:rPr>
            <w:noProof/>
            <w:webHidden/>
          </w:rPr>
          <w:fldChar w:fldCharType="end"/>
        </w:r>
      </w:hyperlink>
    </w:p>
    <w:p w14:paraId="25ABFD1E" w14:textId="19000C34" w:rsidR="001E48DD" w:rsidRPr="00E81A6E" w:rsidRDefault="00EE0374" w:rsidP="00882664">
      <w:pPr>
        <w:pStyle w:val="TOC3"/>
        <w:rPr>
          <w:rFonts w:eastAsiaTheme="minorEastAsia"/>
          <w:noProof/>
          <w:lang w:eastAsia="en-US"/>
        </w:rPr>
      </w:pPr>
      <w:hyperlink w:anchor="_Toc61971770" w:history="1">
        <w:r w:rsidR="001E48DD" w:rsidRPr="00E81A6E">
          <w:rPr>
            <w:rStyle w:val="Hyperlink"/>
            <w:rFonts w:ascii="Times New Roman" w:hAnsi="Times New Roman" w:cs="Times New Roman"/>
            <w:noProof/>
            <w:color w:val="auto"/>
            <w:sz w:val="24"/>
            <w:szCs w:val="24"/>
          </w:rPr>
          <w:t>П</w:t>
        </w:r>
        <w:r w:rsidR="00117C3A">
          <w:rPr>
            <w:rStyle w:val="Hyperlink"/>
            <w:rFonts w:ascii="Times New Roman" w:hAnsi="Times New Roman" w:cs="Times New Roman"/>
            <w:noProof/>
            <w:color w:val="auto"/>
            <w:sz w:val="24"/>
            <w:szCs w:val="24"/>
            <w:lang w:val="bg-BG"/>
          </w:rPr>
          <w:t>реотстъпени държавни приходи</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_Toc61971770 \h </w:instrText>
        </w:r>
        <w:r w:rsidR="001E48DD" w:rsidRPr="00E81A6E">
          <w:rPr>
            <w:noProof/>
            <w:webHidden/>
          </w:rPr>
        </w:r>
        <w:r w:rsidR="001E48DD" w:rsidRPr="00E81A6E">
          <w:rPr>
            <w:noProof/>
            <w:webHidden/>
          </w:rPr>
          <w:fldChar w:fldCharType="separate"/>
        </w:r>
        <w:r w:rsidR="007629E1">
          <w:rPr>
            <w:noProof/>
            <w:webHidden/>
          </w:rPr>
          <w:t>26</w:t>
        </w:r>
        <w:r w:rsidR="001E48DD" w:rsidRPr="00E81A6E">
          <w:rPr>
            <w:noProof/>
            <w:webHidden/>
          </w:rPr>
          <w:fldChar w:fldCharType="end"/>
        </w:r>
      </w:hyperlink>
    </w:p>
    <w:p w14:paraId="521A202C" w14:textId="48CB6A31" w:rsidR="001E48DD" w:rsidRPr="00E81A6E" w:rsidRDefault="00EE0374" w:rsidP="00882664">
      <w:pPr>
        <w:pStyle w:val="TOC3"/>
        <w:rPr>
          <w:rFonts w:eastAsiaTheme="minorEastAsia"/>
          <w:noProof/>
          <w:lang w:eastAsia="en-US"/>
        </w:rPr>
      </w:pPr>
      <w:hyperlink w:anchor="_Toc61971771" w:history="1">
        <w:r w:rsidR="001E48DD" w:rsidRPr="00E81A6E">
          <w:rPr>
            <w:rStyle w:val="Hyperlink"/>
            <w:rFonts w:ascii="Times New Roman" w:hAnsi="Times New Roman" w:cs="Times New Roman"/>
            <w:noProof/>
            <w:color w:val="auto"/>
            <w:sz w:val="24"/>
            <w:szCs w:val="24"/>
            <w:lang w:val="ru-RU"/>
          </w:rPr>
          <w:t>И</w:t>
        </w:r>
        <w:r w:rsidR="00117C3A">
          <w:rPr>
            <w:rStyle w:val="Hyperlink"/>
            <w:rFonts w:ascii="Times New Roman" w:hAnsi="Times New Roman" w:cs="Times New Roman"/>
            <w:noProof/>
            <w:color w:val="auto"/>
            <w:sz w:val="24"/>
            <w:szCs w:val="24"/>
            <w:lang w:val="ru-RU"/>
          </w:rPr>
          <w:t>муществени данъци и неданъчни приходи</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_Toc61971771 \h </w:instrText>
        </w:r>
        <w:r w:rsidR="001E48DD" w:rsidRPr="00E81A6E">
          <w:rPr>
            <w:noProof/>
            <w:webHidden/>
          </w:rPr>
        </w:r>
        <w:r w:rsidR="001E48DD" w:rsidRPr="00E81A6E">
          <w:rPr>
            <w:noProof/>
            <w:webHidden/>
          </w:rPr>
          <w:fldChar w:fldCharType="separate"/>
        </w:r>
        <w:r w:rsidR="007629E1">
          <w:rPr>
            <w:noProof/>
            <w:webHidden/>
          </w:rPr>
          <w:t>27</w:t>
        </w:r>
        <w:r w:rsidR="001E48DD" w:rsidRPr="00E81A6E">
          <w:rPr>
            <w:noProof/>
            <w:webHidden/>
          </w:rPr>
          <w:fldChar w:fldCharType="end"/>
        </w:r>
      </w:hyperlink>
    </w:p>
    <w:p w14:paraId="4F5106C5" w14:textId="5A06692B" w:rsidR="001E48DD" w:rsidRPr="00E81A6E" w:rsidRDefault="00EE0374" w:rsidP="00882664">
      <w:pPr>
        <w:pStyle w:val="TOC3"/>
        <w:rPr>
          <w:rFonts w:eastAsiaTheme="minorEastAsia"/>
          <w:noProof/>
          <w:lang w:eastAsia="en-US"/>
        </w:rPr>
      </w:pPr>
      <w:hyperlink w:anchor="_Toc61971772" w:history="1">
        <w:r w:rsidR="001E48DD" w:rsidRPr="00E81A6E">
          <w:rPr>
            <w:rStyle w:val="Hyperlink"/>
            <w:rFonts w:ascii="Times New Roman" w:hAnsi="Times New Roman" w:cs="Times New Roman"/>
            <w:noProof/>
            <w:color w:val="auto"/>
            <w:sz w:val="24"/>
            <w:szCs w:val="24"/>
            <w:lang w:val="ru-RU"/>
          </w:rPr>
          <w:t>У</w:t>
        </w:r>
        <w:r w:rsidR="00117C3A">
          <w:rPr>
            <w:rStyle w:val="Hyperlink"/>
            <w:rFonts w:ascii="Times New Roman" w:hAnsi="Times New Roman" w:cs="Times New Roman"/>
            <w:noProof/>
            <w:color w:val="auto"/>
            <w:sz w:val="24"/>
            <w:szCs w:val="24"/>
            <w:lang w:val="ru-RU"/>
          </w:rPr>
          <w:t xml:space="preserve">правление на дълга и финансиране </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_Toc61971772 \h </w:instrText>
        </w:r>
        <w:r w:rsidR="001E48DD" w:rsidRPr="00E81A6E">
          <w:rPr>
            <w:noProof/>
            <w:webHidden/>
          </w:rPr>
        </w:r>
        <w:r w:rsidR="001E48DD" w:rsidRPr="00E81A6E">
          <w:rPr>
            <w:noProof/>
            <w:webHidden/>
          </w:rPr>
          <w:fldChar w:fldCharType="separate"/>
        </w:r>
        <w:r w:rsidR="007629E1">
          <w:rPr>
            <w:noProof/>
            <w:webHidden/>
          </w:rPr>
          <w:t>29</w:t>
        </w:r>
        <w:r w:rsidR="001E48DD" w:rsidRPr="00E81A6E">
          <w:rPr>
            <w:noProof/>
            <w:webHidden/>
          </w:rPr>
          <w:fldChar w:fldCharType="end"/>
        </w:r>
      </w:hyperlink>
    </w:p>
    <w:p w14:paraId="727DA05C" w14:textId="09CF5122" w:rsidR="001E48DD" w:rsidRPr="00E81A6E" w:rsidRDefault="00EE0374" w:rsidP="00882664">
      <w:pPr>
        <w:pStyle w:val="TOC1"/>
        <w:rPr>
          <w:rFonts w:eastAsiaTheme="minorEastAsia"/>
          <w:noProof/>
          <w:lang w:eastAsia="en-US"/>
        </w:rPr>
      </w:pPr>
      <w:hyperlink w:anchor="_Toc61971773" w:history="1">
        <w:r w:rsidR="001E48DD" w:rsidRPr="00E81A6E">
          <w:rPr>
            <w:rStyle w:val="Hyperlink"/>
            <w:rFonts w:ascii="Times New Roman" w:hAnsi="Times New Roman" w:cs="Times New Roman"/>
            <w:noProof/>
            <w:color w:val="auto"/>
            <w:lang w:val="bg-BG"/>
          </w:rPr>
          <w:t xml:space="preserve">БЮДЖЕТ 2021 - </w:t>
        </w:r>
        <w:r w:rsidR="001E48DD" w:rsidRPr="00E81A6E">
          <w:rPr>
            <w:rStyle w:val="Hyperlink"/>
            <w:rFonts w:ascii="Times New Roman" w:hAnsi="Times New Roman" w:cs="Times New Roman"/>
            <w:noProof/>
            <w:color w:val="auto"/>
            <w:lang w:val="ru-RU"/>
          </w:rPr>
          <w:t>РАЗПРЕДЕЛЕНИЕ НА РАЗХОДИТЕ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_Toc61971773 \h </w:instrText>
        </w:r>
        <w:r w:rsidR="001E48DD" w:rsidRPr="00E81A6E">
          <w:rPr>
            <w:noProof/>
            <w:webHidden/>
          </w:rPr>
        </w:r>
        <w:r w:rsidR="001E48DD" w:rsidRPr="00E81A6E">
          <w:rPr>
            <w:noProof/>
            <w:webHidden/>
          </w:rPr>
          <w:fldChar w:fldCharType="separate"/>
        </w:r>
        <w:r w:rsidR="007629E1">
          <w:rPr>
            <w:noProof/>
            <w:webHidden/>
          </w:rPr>
          <w:t>30</w:t>
        </w:r>
        <w:r w:rsidR="001E48DD" w:rsidRPr="00E81A6E">
          <w:rPr>
            <w:noProof/>
            <w:webHidden/>
          </w:rPr>
          <w:fldChar w:fldCharType="end"/>
        </w:r>
      </w:hyperlink>
    </w:p>
    <w:p w14:paraId="587DDFBC" w14:textId="11991A7D" w:rsidR="001E48DD" w:rsidRPr="00E81A6E" w:rsidRDefault="00EE0374" w:rsidP="00882664">
      <w:pPr>
        <w:pStyle w:val="TOC3"/>
        <w:rPr>
          <w:rFonts w:eastAsiaTheme="minorEastAsia"/>
          <w:noProof/>
          <w:lang w:eastAsia="en-US"/>
        </w:rPr>
      </w:pPr>
      <w:hyperlink w:anchor="_Toc61971774" w:history="1">
        <w:r w:rsidR="001E48DD" w:rsidRPr="00E81A6E">
          <w:rPr>
            <w:rStyle w:val="Hyperlink"/>
            <w:rFonts w:ascii="Times New Roman" w:hAnsi="Times New Roman" w:cs="Times New Roman"/>
            <w:noProof/>
            <w:color w:val="auto"/>
            <w:sz w:val="24"/>
            <w:szCs w:val="24"/>
            <w:lang w:val="ru-RU"/>
          </w:rPr>
          <w:t>Функция “Общи държавни служби”</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_Toc61971774 \h </w:instrText>
        </w:r>
        <w:r w:rsidR="001E48DD" w:rsidRPr="00E81A6E">
          <w:rPr>
            <w:noProof/>
            <w:webHidden/>
          </w:rPr>
        </w:r>
        <w:r w:rsidR="001E48DD" w:rsidRPr="00E81A6E">
          <w:rPr>
            <w:noProof/>
            <w:webHidden/>
          </w:rPr>
          <w:fldChar w:fldCharType="separate"/>
        </w:r>
        <w:r w:rsidR="007629E1">
          <w:rPr>
            <w:noProof/>
            <w:webHidden/>
          </w:rPr>
          <w:t>33</w:t>
        </w:r>
        <w:r w:rsidR="001E48DD" w:rsidRPr="00E81A6E">
          <w:rPr>
            <w:noProof/>
            <w:webHidden/>
          </w:rPr>
          <w:fldChar w:fldCharType="end"/>
        </w:r>
      </w:hyperlink>
    </w:p>
    <w:p w14:paraId="6FFD01F1" w14:textId="2BF70FB7" w:rsidR="001E48DD" w:rsidRPr="00E81A6E" w:rsidRDefault="00EE0374" w:rsidP="00882664">
      <w:pPr>
        <w:pStyle w:val="TOC3"/>
        <w:rPr>
          <w:rFonts w:eastAsiaTheme="minorEastAsia"/>
          <w:noProof/>
          <w:lang w:eastAsia="en-US"/>
        </w:rPr>
      </w:pPr>
      <w:hyperlink w:anchor="_Toc61971775" w:history="1">
        <w:r w:rsidR="001E48DD" w:rsidRPr="00E81A6E">
          <w:rPr>
            <w:rStyle w:val="Hyperlink"/>
            <w:rFonts w:ascii="Times New Roman" w:hAnsi="Times New Roman" w:cs="Times New Roman"/>
            <w:noProof/>
            <w:color w:val="auto"/>
            <w:sz w:val="24"/>
            <w:szCs w:val="24"/>
            <w:lang w:val="ru-RU"/>
          </w:rPr>
          <w:t>Функция “Отбрана и сигурност“</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_Toc61971775 \h </w:instrText>
        </w:r>
        <w:r w:rsidR="001E48DD" w:rsidRPr="00E81A6E">
          <w:rPr>
            <w:noProof/>
            <w:webHidden/>
          </w:rPr>
        </w:r>
        <w:r w:rsidR="001E48DD" w:rsidRPr="00E81A6E">
          <w:rPr>
            <w:noProof/>
            <w:webHidden/>
          </w:rPr>
          <w:fldChar w:fldCharType="separate"/>
        </w:r>
        <w:r w:rsidR="007629E1">
          <w:rPr>
            <w:noProof/>
            <w:webHidden/>
          </w:rPr>
          <w:t>35</w:t>
        </w:r>
        <w:r w:rsidR="001E48DD" w:rsidRPr="00E81A6E">
          <w:rPr>
            <w:noProof/>
            <w:webHidden/>
          </w:rPr>
          <w:fldChar w:fldCharType="end"/>
        </w:r>
      </w:hyperlink>
    </w:p>
    <w:p w14:paraId="584061CD" w14:textId="5A133B3E" w:rsidR="001E48DD" w:rsidRPr="00E81A6E" w:rsidRDefault="00EE0374" w:rsidP="00882664">
      <w:pPr>
        <w:pStyle w:val="TOC3"/>
        <w:rPr>
          <w:rFonts w:eastAsiaTheme="minorEastAsia"/>
          <w:noProof/>
          <w:lang w:eastAsia="en-US"/>
        </w:rPr>
      </w:pPr>
      <w:hyperlink w:anchor="_Toc61971776" w:history="1">
        <w:r w:rsidR="001E48DD" w:rsidRPr="00E81A6E">
          <w:rPr>
            <w:rStyle w:val="Hyperlink"/>
            <w:rFonts w:ascii="Times New Roman" w:hAnsi="Times New Roman" w:cs="Times New Roman"/>
            <w:noProof/>
            <w:color w:val="auto"/>
            <w:sz w:val="24"/>
            <w:szCs w:val="24"/>
            <w:lang w:val="ru-RU"/>
          </w:rPr>
          <w:t>Функция “ Образование”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_Toc61971776 \h </w:instrText>
        </w:r>
        <w:r w:rsidR="001E48DD" w:rsidRPr="00E81A6E">
          <w:rPr>
            <w:noProof/>
            <w:webHidden/>
          </w:rPr>
        </w:r>
        <w:r w:rsidR="001E48DD" w:rsidRPr="00E81A6E">
          <w:rPr>
            <w:noProof/>
            <w:webHidden/>
          </w:rPr>
          <w:fldChar w:fldCharType="separate"/>
        </w:r>
        <w:r w:rsidR="007629E1">
          <w:rPr>
            <w:noProof/>
            <w:webHidden/>
          </w:rPr>
          <w:t>36</w:t>
        </w:r>
        <w:r w:rsidR="001E48DD" w:rsidRPr="00E81A6E">
          <w:rPr>
            <w:noProof/>
            <w:webHidden/>
          </w:rPr>
          <w:fldChar w:fldCharType="end"/>
        </w:r>
      </w:hyperlink>
    </w:p>
    <w:p w14:paraId="38F4DB00" w14:textId="05821BDD" w:rsidR="001E48DD" w:rsidRPr="00E81A6E" w:rsidRDefault="00EE0374" w:rsidP="00882664">
      <w:pPr>
        <w:pStyle w:val="TOC3"/>
        <w:rPr>
          <w:rFonts w:eastAsiaTheme="minorEastAsia"/>
          <w:noProof/>
          <w:lang w:eastAsia="en-US"/>
        </w:rPr>
      </w:pPr>
      <w:hyperlink w:anchor="_Toc61971778" w:history="1">
        <w:r w:rsidR="001E48DD" w:rsidRPr="00E81A6E">
          <w:rPr>
            <w:rStyle w:val="Hyperlink"/>
            <w:rFonts w:ascii="Times New Roman" w:hAnsi="Times New Roman" w:cs="Times New Roman"/>
            <w:noProof/>
            <w:color w:val="auto"/>
            <w:sz w:val="24"/>
            <w:szCs w:val="24"/>
            <w:lang w:val="ru-RU"/>
          </w:rPr>
          <w:t>Функция “ Здравеопазване“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_Toc61971778 \h </w:instrText>
        </w:r>
        <w:r w:rsidR="001E48DD" w:rsidRPr="00E81A6E">
          <w:rPr>
            <w:noProof/>
            <w:webHidden/>
          </w:rPr>
        </w:r>
        <w:r w:rsidR="001E48DD" w:rsidRPr="00E81A6E">
          <w:rPr>
            <w:noProof/>
            <w:webHidden/>
          </w:rPr>
          <w:fldChar w:fldCharType="separate"/>
        </w:r>
        <w:r w:rsidR="007629E1">
          <w:rPr>
            <w:noProof/>
            <w:webHidden/>
          </w:rPr>
          <w:t>39</w:t>
        </w:r>
        <w:r w:rsidR="001E48DD" w:rsidRPr="00E81A6E">
          <w:rPr>
            <w:noProof/>
            <w:webHidden/>
          </w:rPr>
          <w:fldChar w:fldCharType="end"/>
        </w:r>
      </w:hyperlink>
    </w:p>
    <w:p w14:paraId="24826D90" w14:textId="77A141B0" w:rsidR="001E48DD" w:rsidRPr="00E81A6E" w:rsidRDefault="00EE0374" w:rsidP="00882664">
      <w:pPr>
        <w:pStyle w:val="TOC3"/>
        <w:rPr>
          <w:rFonts w:eastAsiaTheme="minorEastAsia"/>
          <w:noProof/>
          <w:lang w:eastAsia="en-US"/>
        </w:rPr>
      </w:pPr>
      <w:hyperlink w:anchor="_Toc61971779" w:history="1">
        <w:r w:rsidR="001E48DD" w:rsidRPr="00E81A6E">
          <w:rPr>
            <w:rStyle w:val="Hyperlink"/>
            <w:rFonts w:ascii="Times New Roman" w:hAnsi="Times New Roman" w:cs="Times New Roman"/>
            <w:noProof/>
            <w:color w:val="auto"/>
            <w:sz w:val="24"/>
            <w:szCs w:val="24"/>
            <w:lang w:val="ru-RU"/>
          </w:rPr>
          <w:t>Функция “Социално осигуряване, подпомагане и грижи “</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_Toc61971779 \h </w:instrText>
        </w:r>
        <w:r w:rsidR="001E48DD" w:rsidRPr="00E81A6E">
          <w:rPr>
            <w:noProof/>
            <w:webHidden/>
          </w:rPr>
        </w:r>
        <w:r w:rsidR="001E48DD" w:rsidRPr="00E81A6E">
          <w:rPr>
            <w:noProof/>
            <w:webHidden/>
          </w:rPr>
          <w:fldChar w:fldCharType="separate"/>
        </w:r>
        <w:r w:rsidR="007629E1">
          <w:rPr>
            <w:noProof/>
            <w:webHidden/>
          </w:rPr>
          <w:t>40</w:t>
        </w:r>
        <w:r w:rsidR="001E48DD" w:rsidRPr="00E81A6E">
          <w:rPr>
            <w:noProof/>
            <w:webHidden/>
          </w:rPr>
          <w:fldChar w:fldCharType="end"/>
        </w:r>
      </w:hyperlink>
    </w:p>
    <w:p w14:paraId="3AB1E9A1" w14:textId="1EBFAC6C" w:rsidR="001E48DD" w:rsidRPr="00E81A6E" w:rsidRDefault="00EE0374" w:rsidP="00882664">
      <w:pPr>
        <w:pStyle w:val="TOC3"/>
        <w:rPr>
          <w:rFonts w:eastAsiaTheme="minorEastAsia"/>
          <w:noProof/>
          <w:lang w:eastAsia="en-US"/>
        </w:rPr>
      </w:pPr>
      <w:hyperlink w:anchor="_Toc61971780" w:history="1">
        <w:r w:rsidR="001E48DD" w:rsidRPr="00E81A6E">
          <w:rPr>
            <w:rStyle w:val="Hyperlink"/>
            <w:rFonts w:ascii="Times New Roman" w:hAnsi="Times New Roman" w:cs="Times New Roman"/>
            <w:noProof/>
            <w:color w:val="auto"/>
            <w:sz w:val="24"/>
            <w:szCs w:val="24"/>
            <w:lang w:val="ru-RU"/>
          </w:rPr>
          <w:t>Функция “Жилищно строителство, БКС и опазване на околната среда”</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_Toc61971780 \h </w:instrText>
        </w:r>
        <w:r w:rsidR="001E48DD" w:rsidRPr="00E81A6E">
          <w:rPr>
            <w:noProof/>
            <w:webHidden/>
          </w:rPr>
        </w:r>
        <w:r w:rsidR="001E48DD" w:rsidRPr="00E81A6E">
          <w:rPr>
            <w:noProof/>
            <w:webHidden/>
          </w:rPr>
          <w:fldChar w:fldCharType="separate"/>
        </w:r>
        <w:r w:rsidR="007629E1">
          <w:rPr>
            <w:noProof/>
            <w:webHidden/>
          </w:rPr>
          <w:t>42</w:t>
        </w:r>
        <w:r w:rsidR="001E48DD" w:rsidRPr="00E81A6E">
          <w:rPr>
            <w:noProof/>
            <w:webHidden/>
          </w:rPr>
          <w:fldChar w:fldCharType="end"/>
        </w:r>
      </w:hyperlink>
    </w:p>
    <w:p w14:paraId="565CA7CB" w14:textId="5240A27F" w:rsidR="001E48DD" w:rsidRPr="00E81A6E" w:rsidRDefault="00EE0374" w:rsidP="00882664">
      <w:pPr>
        <w:pStyle w:val="TOC3"/>
        <w:rPr>
          <w:rFonts w:eastAsiaTheme="minorEastAsia"/>
          <w:noProof/>
          <w:lang w:eastAsia="en-US"/>
        </w:rPr>
      </w:pPr>
      <w:hyperlink w:anchor="_Toc61971781" w:history="1">
        <w:r w:rsidR="001E48DD" w:rsidRPr="00E81A6E">
          <w:rPr>
            <w:rStyle w:val="Hyperlink"/>
            <w:rFonts w:ascii="Times New Roman" w:hAnsi="Times New Roman" w:cs="Times New Roman"/>
            <w:noProof/>
            <w:color w:val="auto"/>
            <w:sz w:val="24"/>
            <w:szCs w:val="24"/>
            <w:lang w:val="ru-RU"/>
          </w:rPr>
          <w:t xml:space="preserve">Функция </w:t>
        </w:r>
        <w:r w:rsidR="001E48DD" w:rsidRPr="00E81A6E">
          <w:rPr>
            <w:rStyle w:val="Hyperlink"/>
            <w:rFonts w:ascii="Times New Roman" w:hAnsi="Times New Roman" w:cs="Times New Roman"/>
            <w:noProof/>
            <w:color w:val="auto"/>
            <w:sz w:val="24"/>
            <w:szCs w:val="24"/>
            <w:lang w:val="bg-BG"/>
          </w:rPr>
          <w:t>„Култура, спорт, почивни дейности и религиозно дело“</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_Toc61971781 \h </w:instrText>
        </w:r>
        <w:r w:rsidR="001E48DD" w:rsidRPr="00E81A6E">
          <w:rPr>
            <w:noProof/>
            <w:webHidden/>
          </w:rPr>
        </w:r>
        <w:r w:rsidR="001E48DD" w:rsidRPr="00E81A6E">
          <w:rPr>
            <w:noProof/>
            <w:webHidden/>
          </w:rPr>
          <w:fldChar w:fldCharType="separate"/>
        </w:r>
        <w:r w:rsidR="007629E1">
          <w:rPr>
            <w:noProof/>
            <w:webHidden/>
          </w:rPr>
          <w:t>43</w:t>
        </w:r>
        <w:r w:rsidR="001E48DD" w:rsidRPr="00E81A6E">
          <w:rPr>
            <w:noProof/>
            <w:webHidden/>
          </w:rPr>
          <w:fldChar w:fldCharType="end"/>
        </w:r>
      </w:hyperlink>
    </w:p>
    <w:p w14:paraId="3B9DFC93" w14:textId="42E096B7" w:rsidR="001E48DD" w:rsidRPr="00E81A6E" w:rsidRDefault="00EE0374" w:rsidP="00882664">
      <w:pPr>
        <w:pStyle w:val="TOC3"/>
        <w:rPr>
          <w:rFonts w:eastAsiaTheme="minorEastAsia"/>
          <w:noProof/>
          <w:lang w:eastAsia="en-US"/>
        </w:rPr>
      </w:pPr>
      <w:hyperlink w:anchor="_Toc61971782" w:history="1">
        <w:r w:rsidR="001E48DD" w:rsidRPr="00E81A6E">
          <w:rPr>
            <w:rStyle w:val="Hyperlink"/>
            <w:rFonts w:ascii="Times New Roman" w:hAnsi="Times New Roman" w:cs="Times New Roman"/>
            <w:noProof/>
            <w:color w:val="auto"/>
            <w:sz w:val="24"/>
            <w:szCs w:val="24"/>
            <w:lang w:val="ru-RU"/>
          </w:rPr>
          <w:t>Функция “Икономически дейности и услуги”</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_Toc61971782 \h </w:instrText>
        </w:r>
        <w:r w:rsidR="001E48DD" w:rsidRPr="00E81A6E">
          <w:rPr>
            <w:noProof/>
            <w:webHidden/>
          </w:rPr>
        </w:r>
        <w:r w:rsidR="001E48DD" w:rsidRPr="00E81A6E">
          <w:rPr>
            <w:noProof/>
            <w:webHidden/>
          </w:rPr>
          <w:fldChar w:fldCharType="separate"/>
        </w:r>
        <w:r w:rsidR="007629E1">
          <w:rPr>
            <w:noProof/>
            <w:webHidden/>
          </w:rPr>
          <w:t>45</w:t>
        </w:r>
        <w:r w:rsidR="001E48DD" w:rsidRPr="00E81A6E">
          <w:rPr>
            <w:noProof/>
            <w:webHidden/>
          </w:rPr>
          <w:fldChar w:fldCharType="end"/>
        </w:r>
      </w:hyperlink>
    </w:p>
    <w:p w14:paraId="36EF6779" w14:textId="74D1B8F0" w:rsidR="001E48DD" w:rsidRPr="00E81A6E" w:rsidRDefault="00EE0374" w:rsidP="00882664">
      <w:pPr>
        <w:pStyle w:val="TOC1"/>
        <w:rPr>
          <w:rFonts w:eastAsiaTheme="minorEastAsia"/>
          <w:noProof/>
          <w:lang w:eastAsia="en-US"/>
        </w:rPr>
      </w:pPr>
      <w:hyperlink w:anchor="_Toc61971783" w:history="1">
        <w:r w:rsidR="001E48DD" w:rsidRPr="00E81A6E">
          <w:rPr>
            <w:rStyle w:val="Hyperlink"/>
            <w:rFonts w:ascii="Times New Roman" w:hAnsi="Times New Roman" w:cs="Times New Roman"/>
            <w:noProof/>
            <w:color w:val="auto"/>
            <w:lang w:val="ru-RU"/>
          </w:rPr>
          <w:t>БЮДЖЕТ 2021 - ИНВЕСТИЦИОННА ПРОГРАМА</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_Toc61971783 \h </w:instrText>
        </w:r>
        <w:r w:rsidR="001E48DD" w:rsidRPr="00E81A6E">
          <w:rPr>
            <w:noProof/>
            <w:webHidden/>
          </w:rPr>
        </w:r>
        <w:r w:rsidR="001E48DD" w:rsidRPr="00E81A6E">
          <w:rPr>
            <w:noProof/>
            <w:webHidden/>
          </w:rPr>
          <w:fldChar w:fldCharType="separate"/>
        </w:r>
        <w:r w:rsidR="007629E1">
          <w:rPr>
            <w:noProof/>
            <w:webHidden/>
          </w:rPr>
          <w:t>46</w:t>
        </w:r>
        <w:r w:rsidR="001E48DD" w:rsidRPr="00E81A6E">
          <w:rPr>
            <w:noProof/>
            <w:webHidden/>
          </w:rPr>
          <w:fldChar w:fldCharType="end"/>
        </w:r>
      </w:hyperlink>
    </w:p>
    <w:p w14:paraId="19615F28" w14:textId="6E0E55C8" w:rsidR="001E48DD" w:rsidRPr="00E81A6E" w:rsidRDefault="00EE0374" w:rsidP="00882664">
      <w:pPr>
        <w:pStyle w:val="TOC1"/>
        <w:rPr>
          <w:rFonts w:eastAsiaTheme="minorEastAsia"/>
          <w:noProof/>
          <w:lang w:eastAsia="en-US"/>
        </w:rPr>
      </w:pPr>
      <w:hyperlink w:anchor="_Toc61971784" w:history="1">
        <w:r w:rsidR="001E48DD" w:rsidRPr="00E81A6E">
          <w:rPr>
            <w:rStyle w:val="Hyperlink"/>
            <w:rFonts w:ascii="Times New Roman" w:hAnsi="Times New Roman" w:cs="Times New Roman"/>
            <w:noProof/>
            <w:color w:val="auto"/>
            <w:lang w:val="ru-RU"/>
          </w:rPr>
          <w:t>ЗАКЛЮЧЕНИЕ</w:t>
        </w:r>
        <w:r w:rsidR="001E48DD" w:rsidRPr="00E81A6E">
          <w:rPr>
            <w:noProof/>
            <w:webHidden/>
          </w:rPr>
          <w:tab/>
        </w:r>
        <w:r w:rsidR="001E48DD" w:rsidRPr="00E81A6E">
          <w:rPr>
            <w:noProof/>
            <w:webHidden/>
          </w:rPr>
          <w:fldChar w:fldCharType="begin"/>
        </w:r>
        <w:r w:rsidR="001E48DD" w:rsidRPr="00E81A6E">
          <w:rPr>
            <w:noProof/>
            <w:webHidden/>
          </w:rPr>
          <w:instrText xml:space="preserve"> PAGEREF _Toc61971784 \h </w:instrText>
        </w:r>
        <w:r w:rsidR="001E48DD" w:rsidRPr="00E81A6E">
          <w:rPr>
            <w:noProof/>
            <w:webHidden/>
          </w:rPr>
        </w:r>
        <w:r w:rsidR="001E48DD" w:rsidRPr="00E81A6E">
          <w:rPr>
            <w:noProof/>
            <w:webHidden/>
          </w:rPr>
          <w:fldChar w:fldCharType="separate"/>
        </w:r>
        <w:r w:rsidR="007629E1">
          <w:rPr>
            <w:noProof/>
            <w:webHidden/>
          </w:rPr>
          <w:t>51</w:t>
        </w:r>
        <w:r w:rsidR="001E48DD" w:rsidRPr="00E81A6E">
          <w:rPr>
            <w:noProof/>
            <w:webHidden/>
          </w:rPr>
          <w:fldChar w:fldCharType="end"/>
        </w:r>
      </w:hyperlink>
    </w:p>
    <w:p w14:paraId="478C3EF9" w14:textId="77777777" w:rsidR="001E48DD" w:rsidRPr="00E81A6E" w:rsidRDefault="001E48DD" w:rsidP="00882664">
      <w:pPr>
        <w:pStyle w:val="TOC1"/>
        <w:rPr>
          <w:rFonts w:eastAsiaTheme="minorEastAsia"/>
          <w:noProof/>
          <w:lang w:eastAsia="en-US"/>
        </w:rPr>
      </w:pPr>
    </w:p>
    <w:p w14:paraId="6A58AE32" w14:textId="77777777" w:rsidR="001E48DD" w:rsidRPr="00E81A6E" w:rsidRDefault="001E48DD" w:rsidP="00882664">
      <w:pPr>
        <w:pStyle w:val="TOC1"/>
        <w:rPr>
          <w:rFonts w:eastAsiaTheme="minorEastAsia"/>
          <w:noProof/>
          <w:lang w:eastAsia="en-US"/>
        </w:rPr>
      </w:pPr>
    </w:p>
    <w:p w14:paraId="671FA8E6" w14:textId="77777777" w:rsidR="006F5B92" w:rsidRPr="00E81A6E" w:rsidRDefault="006F5B92" w:rsidP="00F55B06">
      <w:pPr>
        <w:spacing w:after="0"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rPr>
        <w:fldChar w:fldCharType="end"/>
      </w:r>
    </w:p>
    <w:p w14:paraId="449F7F9B" w14:textId="77777777" w:rsidR="004D70F7" w:rsidRPr="00E81A6E" w:rsidRDefault="004D70F7" w:rsidP="00F55B06">
      <w:pPr>
        <w:spacing w:after="0" w:line="240" w:lineRule="auto"/>
        <w:ind w:firstLine="720"/>
        <w:contextualSpacing/>
        <w:rPr>
          <w:rFonts w:ascii="Times New Roman" w:hAnsi="Times New Roman" w:cs="Times New Roman"/>
          <w:sz w:val="24"/>
          <w:szCs w:val="24"/>
          <w:lang w:val="bg-BG"/>
        </w:rPr>
      </w:pPr>
    </w:p>
    <w:p w14:paraId="35EF4768" w14:textId="77777777" w:rsidR="005D1D5C" w:rsidRPr="00E81A6E" w:rsidRDefault="005D1D5C">
      <w:pPr>
        <w:spacing w:after="0" w:line="240" w:lineRule="auto"/>
        <w:rPr>
          <w:rFonts w:ascii="Times New Roman" w:hAnsi="Times New Roman" w:cs="Times New Roman"/>
          <w:sz w:val="24"/>
          <w:szCs w:val="24"/>
          <w:lang w:val="bg-BG"/>
        </w:rPr>
      </w:pPr>
      <w:r w:rsidRPr="00E81A6E">
        <w:rPr>
          <w:rFonts w:ascii="Times New Roman" w:hAnsi="Times New Roman" w:cs="Times New Roman"/>
          <w:sz w:val="24"/>
          <w:szCs w:val="24"/>
          <w:lang w:val="bg-BG"/>
        </w:rPr>
        <w:br w:type="page"/>
      </w:r>
    </w:p>
    <w:p w14:paraId="3793426A" w14:textId="77777777" w:rsidR="004D70F7" w:rsidRPr="00E81A6E" w:rsidRDefault="004D70F7" w:rsidP="00F55B06">
      <w:pPr>
        <w:spacing w:after="0" w:line="240" w:lineRule="auto"/>
        <w:ind w:firstLine="720"/>
        <w:contextualSpacing/>
        <w:rPr>
          <w:rFonts w:ascii="Times New Roman" w:hAnsi="Times New Roman" w:cs="Times New Roman"/>
          <w:sz w:val="24"/>
          <w:szCs w:val="24"/>
          <w:lang w:val="bg-BG"/>
        </w:rPr>
      </w:pPr>
    </w:p>
    <w:p w14:paraId="2767A9FC" w14:textId="77777777" w:rsidR="006F5B92" w:rsidRPr="00882664" w:rsidRDefault="006F5B92" w:rsidP="00882664">
      <w:pPr>
        <w:pStyle w:val="TOC1"/>
      </w:pPr>
      <w:r w:rsidRPr="00882664">
        <w:fldChar w:fldCharType="begin"/>
      </w:r>
      <w:r w:rsidRPr="00882664">
        <w:instrText xml:space="preserve"> TOC \o "1-3" \h \z \u </w:instrText>
      </w:r>
      <w:r w:rsidRPr="00882664">
        <w:fldChar w:fldCharType="end"/>
      </w:r>
      <w:bookmarkStart w:id="1" w:name="_Toc198817402"/>
      <w:r w:rsidRPr="00882664">
        <w:t>Абревиатури и съкращения</w:t>
      </w:r>
    </w:p>
    <w:p w14:paraId="4EF0FB58" w14:textId="77777777" w:rsidR="005D1D5C" w:rsidRPr="00E81A6E" w:rsidRDefault="005D1D5C" w:rsidP="005D1D5C"/>
    <w:tbl>
      <w:tblPr>
        <w:tblW w:w="0" w:type="auto"/>
        <w:tblInd w:w="-106" w:type="dxa"/>
        <w:tblLook w:val="00A0" w:firstRow="1" w:lastRow="0" w:firstColumn="1" w:lastColumn="0" w:noHBand="0" w:noVBand="0"/>
      </w:tblPr>
      <w:tblGrid>
        <w:gridCol w:w="2181"/>
        <w:gridCol w:w="7194"/>
      </w:tblGrid>
      <w:tr w:rsidR="006F5B92" w:rsidRPr="00E81A6E" w14:paraId="10532C7A" w14:textId="77777777" w:rsidTr="00850C54">
        <w:tc>
          <w:tcPr>
            <w:tcW w:w="2181" w:type="dxa"/>
            <w:tcBorders>
              <w:right w:val="single" w:sz="4" w:space="0" w:color="auto"/>
            </w:tcBorders>
          </w:tcPr>
          <w:p w14:paraId="0DE72DCC"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БВП</w:t>
            </w:r>
          </w:p>
        </w:tc>
        <w:tc>
          <w:tcPr>
            <w:tcW w:w="7194" w:type="dxa"/>
            <w:tcBorders>
              <w:left w:val="single" w:sz="4" w:space="0" w:color="auto"/>
            </w:tcBorders>
          </w:tcPr>
          <w:p w14:paraId="78D4A1E1"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lang w:val="bg-BG"/>
              </w:rPr>
              <w:t>Б</w:t>
            </w:r>
            <w:r w:rsidRPr="00E81A6E">
              <w:rPr>
                <w:rFonts w:ascii="Times New Roman" w:hAnsi="Times New Roman" w:cs="Times New Roman"/>
                <w:sz w:val="24"/>
                <w:szCs w:val="24"/>
              </w:rPr>
              <w:t xml:space="preserve">рутен вътрешен продукт </w:t>
            </w:r>
          </w:p>
        </w:tc>
      </w:tr>
      <w:tr w:rsidR="006F5B92" w:rsidRPr="00E81A6E" w14:paraId="7FA9F92C" w14:textId="77777777" w:rsidTr="00850C54">
        <w:tc>
          <w:tcPr>
            <w:tcW w:w="2181" w:type="dxa"/>
            <w:tcBorders>
              <w:right w:val="single" w:sz="4" w:space="0" w:color="auto"/>
            </w:tcBorders>
          </w:tcPr>
          <w:p w14:paraId="61DE01FC"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ДДС</w:t>
            </w:r>
          </w:p>
        </w:tc>
        <w:tc>
          <w:tcPr>
            <w:tcW w:w="7194" w:type="dxa"/>
            <w:tcBorders>
              <w:left w:val="single" w:sz="4" w:space="0" w:color="auto"/>
            </w:tcBorders>
          </w:tcPr>
          <w:p w14:paraId="1CFF0D32"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Данък върху добавената стойност </w:t>
            </w:r>
          </w:p>
        </w:tc>
      </w:tr>
      <w:tr w:rsidR="006F5B92" w:rsidRPr="00E81A6E" w14:paraId="28CFB824" w14:textId="77777777" w:rsidTr="00850C54">
        <w:tc>
          <w:tcPr>
            <w:tcW w:w="2181" w:type="dxa"/>
            <w:tcBorders>
              <w:right w:val="single" w:sz="4" w:space="0" w:color="auto"/>
            </w:tcBorders>
          </w:tcPr>
          <w:p w14:paraId="36C90E29" w14:textId="77777777" w:rsidR="006F5B92" w:rsidRPr="00E81A6E" w:rsidRDefault="006F5B92" w:rsidP="00882664">
            <w:pPr>
              <w:spacing w:after="0" w:line="36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ДМА</w:t>
            </w:r>
          </w:p>
        </w:tc>
        <w:tc>
          <w:tcPr>
            <w:tcW w:w="7194" w:type="dxa"/>
            <w:tcBorders>
              <w:left w:val="single" w:sz="4" w:space="0" w:color="auto"/>
            </w:tcBorders>
          </w:tcPr>
          <w:p w14:paraId="5A311A6D" w14:textId="77777777" w:rsidR="006F5B92" w:rsidRPr="00E81A6E" w:rsidRDefault="006F5B92" w:rsidP="00882664">
            <w:pPr>
              <w:spacing w:after="0" w:line="360" w:lineRule="auto"/>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Дълготрайни материални активи</w:t>
            </w:r>
          </w:p>
        </w:tc>
      </w:tr>
      <w:tr w:rsidR="006F5B92" w:rsidRPr="00E81A6E" w14:paraId="0EFDD03B" w14:textId="77777777" w:rsidTr="00850C54">
        <w:tc>
          <w:tcPr>
            <w:tcW w:w="2181" w:type="dxa"/>
            <w:tcBorders>
              <w:right w:val="single" w:sz="4" w:space="0" w:color="auto"/>
            </w:tcBorders>
          </w:tcPr>
          <w:p w14:paraId="43D8102C"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ДОО</w:t>
            </w:r>
          </w:p>
        </w:tc>
        <w:tc>
          <w:tcPr>
            <w:tcW w:w="7194" w:type="dxa"/>
            <w:tcBorders>
              <w:left w:val="single" w:sz="4" w:space="0" w:color="auto"/>
            </w:tcBorders>
          </w:tcPr>
          <w:p w14:paraId="52F152AE"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Държавно обществено осигуряване </w:t>
            </w:r>
          </w:p>
        </w:tc>
      </w:tr>
      <w:tr w:rsidR="006F5B92" w:rsidRPr="00E81A6E" w14:paraId="28043AFC" w14:textId="77777777" w:rsidTr="00850C54">
        <w:tc>
          <w:tcPr>
            <w:tcW w:w="2181" w:type="dxa"/>
            <w:tcBorders>
              <w:right w:val="single" w:sz="4" w:space="0" w:color="auto"/>
            </w:tcBorders>
          </w:tcPr>
          <w:p w14:paraId="3A2A13F1"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ЕИБ</w:t>
            </w:r>
          </w:p>
        </w:tc>
        <w:tc>
          <w:tcPr>
            <w:tcW w:w="7194" w:type="dxa"/>
            <w:tcBorders>
              <w:left w:val="single" w:sz="4" w:space="0" w:color="auto"/>
            </w:tcBorders>
          </w:tcPr>
          <w:p w14:paraId="7B4BDA57"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Европейска инвестиционна банка</w:t>
            </w:r>
          </w:p>
        </w:tc>
      </w:tr>
      <w:tr w:rsidR="006F5B92" w:rsidRPr="00E81A6E" w14:paraId="4851AC6A" w14:textId="77777777" w:rsidTr="00850C54">
        <w:tc>
          <w:tcPr>
            <w:tcW w:w="2181" w:type="dxa"/>
            <w:tcBorders>
              <w:right w:val="single" w:sz="4" w:space="0" w:color="auto"/>
            </w:tcBorders>
          </w:tcPr>
          <w:p w14:paraId="4557A74B"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ЕС</w:t>
            </w:r>
          </w:p>
        </w:tc>
        <w:tc>
          <w:tcPr>
            <w:tcW w:w="7194" w:type="dxa"/>
            <w:tcBorders>
              <w:left w:val="single" w:sz="4" w:space="0" w:color="auto"/>
            </w:tcBorders>
          </w:tcPr>
          <w:p w14:paraId="4EB9C89A"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Европейски съюз </w:t>
            </w:r>
          </w:p>
        </w:tc>
      </w:tr>
      <w:tr w:rsidR="006F5B92" w:rsidRPr="00E81A6E" w14:paraId="417BCDC3" w14:textId="77777777" w:rsidTr="00850C54">
        <w:tc>
          <w:tcPr>
            <w:tcW w:w="2181" w:type="dxa"/>
            <w:tcBorders>
              <w:right w:val="single" w:sz="4" w:space="0" w:color="auto"/>
            </w:tcBorders>
          </w:tcPr>
          <w:p w14:paraId="00502AA4"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ЗДБРБ</w:t>
            </w:r>
          </w:p>
        </w:tc>
        <w:tc>
          <w:tcPr>
            <w:tcW w:w="7194" w:type="dxa"/>
            <w:tcBorders>
              <w:left w:val="single" w:sz="4" w:space="0" w:color="auto"/>
            </w:tcBorders>
          </w:tcPr>
          <w:p w14:paraId="1E8077AC" w14:textId="77777777" w:rsidR="006F5B92" w:rsidRPr="00E81A6E" w:rsidRDefault="006F5B92" w:rsidP="00882664">
            <w:pPr>
              <w:spacing w:after="0" w:line="360" w:lineRule="auto"/>
              <w:contextualSpacing/>
              <w:rPr>
                <w:rFonts w:ascii="Times New Roman" w:hAnsi="Times New Roman" w:cs="Times New Roman"/>
                <w:sz w:val="24"/>
                <w:szCs w:val="24"/>
                <w:lang w:val="ru-RU"/>
              </w:rPr>
            </w:pPr>
            <w:r w:rsidRPr="00E81A6E">
              <w:rPr>
                <w:rFonts w:ascii="Times New Roman" w:hAnsi="Times New Roman" w:cs="Times New Roman"/>
                <w:sz w:val="24"/>
                <w:szCs w:val="24"/>
                <w:lang w:val="ru-RU"/>
              </w:rPr>
              <w:t>Закон за държавния бюджет на Република България</w:t>
            </w:r>
          </w:p>
        </w:tc>
      </w:tr>
      <w:tr w:rsidR="006F5B92" w:rsidRPr="00E81A6E" w14:paraId="6A351287" w14:textId="77777777" w:rsidTr="00850C54">
        <w:tc>
          <w:tcPr>
            <w:tcW w:w="2181" w:type="dxa"/>
            <w:tcBorders>
              <w:right w:val="single" w:sz="4" w:space="0" w:color="auto"/>
            </w:tcBorders>
          </w:tcPr>
          <w:p w14:paraId="4591969E"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ЗМДТ</w:t>
            </w:r>
          </w:p>
        </w:tc>
        <w:tc>
          <w:tcPr>
            <w:tcW w:w="7194" w:type="dxa"/>
            <w:tcBorders>
              <w:left w:val="single" w:sz="4" w:space="0" w:color="auto"/>
            </w:tcBorders>
          </w:tcPr>
          <w:p w14:paraId="7D4C10FF" w14:textId="77777777" w:rsidR="006F5B92" w:rsidRPr="00E81A6E" w:rsidRDefault="006F5B92" w:rsidP="00882664">
            <w:pPr>
              <w:spacing w:after="0" w:line="360" w:lineRule="auto"/>
              <w:contextualSpacing/>
              <w:rPr>
                <w:rFonts w:ascii="Times New Roman" w:hAnsi="Times New Roman" w:cs="Times New Roman"/>
                <w:sz w:val="24"/>
                <w:szCs w:val="24"/>
                <w:lang w:val="ru-RU"/>
              </w:rPr>
            </w:pPr>
            <w:r w:rsidRPr="00E81A6E">
              <w:rPr>
                <w:rFonts w:ascii="Times New Roman" w:hAnsi="Times New Roman" w:cs="Times New Roman"/>
                <w:sz w:val="24"/>
                <w:szCs w:val="24"/>
                <w:lang w:val="ru-RU"/>
              </w:rPr>
              <w:t>Закон за местните данъци и такси</w:t>
            </w:r>
          </w:p>
        </w:tc>
      </w:tr>
      <w:tr w:rsidR="006F5B92" w:rsidRPr="00E81A6E" w14:paraId="7E8A9F51" w14:textId="77777777" w:rsidTr="00850C54">
        <w:tc>
          <w:tcPr>
            <w:tcW w:w="2181" w:type="dxa"/>
            <w:tcBorders>
              <w:right w:val="single" w:sz="4" w:space="0" w:color="auto"/>
            </w:tcBorders>
          </w:tcPr>
          <w:p w14:paraId="1114A3AE"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Style w:val="st"/>
                <w:rFonts w:ascii="Times New Roman" w:hAnsi="Times New Roman" w:cs="Times New Roman"/>
                <w:sz w:val="24"/>
                <w:szCs w:val="24"/>
              </w:rPr>
              <w:t>ЗМСМА</w:t>
            </w:r>
          </w:p>
        </w:tc>
        <w:tc>
          <w:tcPr>
            <w:tcW w:w="7194" w:type="dxa"/>
            <w:tcBorders>
              <w:left w:val="single" w:sz="4" w:space="0" w:color="auto"/>
            </w:tcBorders>
          </w:tcPr>
          <w:p w14:paraId="5FD80D7F" w14:textId="77777777" w:rsidR="006F5B92" w:rsidRPr="00E81A6E" w:rsidRDefault="006F5B92" w:rsidP="00882664">
            <w:pPr>
              <w:spacing w:after="0" w:line="360" w:lineRule="auto"/>
              <w:contextualSpacing/>
              <w:rPr>
                <w:rStyle w:val="st"/>
                <w:rFonts w:ascii="Times New Roman" w:hAnsi="Times New Roman" w:cs="Times New Roman"/>
                <w:sz w:val="24"/>
                <w:szCs w:val="24"/>
                <w:lang w:val="ru-RU"/>
              </w:rPr>
            </w:pPr>
            <w:r w:rsidRPr="00E81A6E">
              <w:rPr>
                <w:rStyle w:val="st"/>
                <w:rFonts w:ascii="Times New Roman" w:hAnsi="Times New Roman" w:cs="Times New Roman"/>
                <w:sz w:val="24"/>
                <w:szCs w:val="24"/>
                <w:lang w:val="ru-RU"/>
              </w:rPr>
              <w:t>Закон за местното самоуправление и местната администрация</w:t>
            </w:r>
          </w:p>
        </w:tc>
      </w:tr>
      <w:tr w:rsidR="006F5B92" w:rsidRPr="00E81A6E" w14:paraId="4B4DBE3E" w14:textId="77777777" w:rsidTr="00850C54">
        <w:tc>
          <w:tcPr>
            <w:tcW w:w="2181" w:type="dxa"/>
            <w:tcBorders>
              <w:right w:val="single" w:sz="4" w:space="0" w:color="auto"/>
            </w:tcBorders>
          </w:tcPr>
          <w:p w14:paraId="270EF2FE"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МПС</w:t>
            </w:r>
          </w:p>
        </w:tc>
        <w:tc>
          <w:tcPr>
            <w:tcW w:w="7194" w:type="dxa"/>
            <w:tcBorders>
              <w:left w:val="single" w:sz="4" w:space="0" w:color="auto"/>
            </w:tcBorders>
          </w:tcPr>
          <w:p w14:paraId="038CCAD3"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Моторно превозно средство </w:t>
            </w:r>
          </w:p>
        </w:tc>
      </w:tr>
      <w:tr w:rsidR="006F5B92" w:rsidRPr="00E81A6E" w14:paraId="43DCD39F" w14:textId="77777777" w:rsidTr="00850C54">
        <w:tc>
          <w:tcPr>
            <w:tcW w:w="2181" w:type="dxa"/>
            <w:tcBorders>
              <w:right w:val="single" w:sz="4" w:space="0" w:color="auto"/>
            </w:tcBorders>
          </w:tcPr>
          <w:p w14:paraId="00883635"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МРРБ</w:t>
            </w:r>
          </w:p>
        </w:tc>
        <w:tc>
          <w:tcPr>
            <w:tcW w:w="7194" w:type="dxa"/>
            <w:tcBorders>
              <w:left w:val="single" w:sz="4" w:space="0" w:color="auto"/>
            </w:tcBorders>
          </w:tcPr>
          <w:p w14:paraId="04942F07" w14:textId="77777777" w:rsidR="006F5B92" w:rsidRPr="00E81A6E" w:rsidRDefault="006F5B92" w:rsidP="00882664">
            <w:pPr>
              <w:spacing w:after="0" w:line="360" w:lineRule="auto"/>
              <w:contextualSpacing/>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Министерство на регионалното развитие и благоустройството </w:t>
            </w:r>
          </w:p>
        </w:tc>
      </w:tr>
      <w:tr w:rsidR="006F5B92" w:rsidRPr="00E81A6E" w14:paraId="0A2FC1E2" w14:textId="77777777" w:rsidTr="00850C54">
        <w:tc>
          <w:tcPr>
            <w:tcW w:w="2181" w:type="dxa"/>
            <w:tcBorders>
              <w:right w:val="single" w:sz="4" w:space="0" w:color="auto"/>
            </w:tcBorders>
          </w:tcPr>
          <w:p w14:paraId="09AF42F4"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 xml:space="preserve">МС </w:t>
            </w:r>
          </w:p>
        </w:tc>
        <w:tc>
          <w:tcPr>
            <w:tcW w:w="7194" w:type="dxa"/>
            <w:tcBorders>
              <w:left w:val="single" w:sz="4" w:space="0" w:color="auto"/>
            </w:tcBorders>
          </w:tcPr>
          <w:p w14:paraId="23A84A1B"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Министерски съвет </w:t>
            </w:r>
          </w:p>
        </w:tc>
      </w:tr>
      <w:tr w:rsidR="006F5B92" w:rsidRPr="00E81A6E" w14:paraId="34F3B23B" w14:textId="77777777" w:rsidTr="00850C54">
        <w:tc>
          <w:tcPr>
            <w:tcW w:w="2181" w:type="dxa"/>
            <w:tcBorders>
              <w:right w:val="single" w:sz="4" w:space="0" w:color="auto"/>
            </w:tcBorders>
          </w:tcPr>
          <w:p w14:paraId="652DA6EF"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НМА</w:t>
            </w:r>
          </w:p>
        </w:tc>
        <w:tc>
          <w:tcPr>
            <w:tcW w:w="7194" w:type="dxa"/>
            <w:tcBorders>
              <w:left w:val="single" w:sz="4" w:space="0" w:color="auto"/>
            </w:tcBorders>
          </w:tcPr>
          <w:p w14:paraId="236A02A1" w14:textId="77777777" w:rsidR="006F5B92" w:rsidRPr="00E81A6E" w:rsidRDefault="006F5B92" w:rsidP="00882664">
            <w:pPr>
              <w:spacing w:after="0" w:line="360" w:lineRule="auto"/>
              <w:contextualSpacing/>
              <w:rPr>
                <w:rStyle w:val="st"/>
                <w:rFonts w:ascii="Times New Roman" w:hAnsi="Times New Roman" w:cs="Times New Roman"/>
                <w:sz w:val="24"/>
                <w:szCs w:val="24"/>
              </w:rPr>
            </w:pPr>
            <w:r w:rsidRPr="00E81A6E">
              <w:rPr>
                <w:rStyle w:val="st"/>
                <w:rFonts w:ascii="Times New Roman" w:hAnsi="Times New Roman" w:cs="Times New Roman"/>
                <w:sz w:val="24"/>
                <w:szCs w:val="24"/>
              </w:rPr>
              <w:t>Нематериални активи</w:t>
            </w:r>
          </w:p>
        </w:tc>
      </w:tr>
      <w:tr w:rsidR="006F5B92" w:rsidRPr="00E81A6E" w14:paraId="78B49B8F" w14:textId="77777777" w:rsidTr="00850C54">
        <w:tc>
          <w:tcPr>
            <w:tcW w:w="2181" w:type="dxa"/>
            <w:tcBorders>
              <w:right w:val="single" w:sz="4" w:space="0" w:color="auto"/>
            </w:tcBorders>
          </w:tcPr>
          <w:p w14:paraId="04094FD0"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ОбП</w:t>
            </w:r>
          </w:p>
        </w:tc>
        <w:tc>
          <w:tcPr>
            <w:tcW w:w="7194" w:type="dxa"/>
            <w:tcBorders>
              <w:left w:val="single" w:sz="4" w:space="0" w:color="auto"/>
            </w:tcBorders>
          </w:tcPr>
          <w:p w14:paraId="744791E3"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Общинско предприятие</w:t>
            </w:r>
          </w:p>
        </w:tc>
      </w:tr>
      <w:tr w:rsidR="006F5B92" w:rsidRPr="00E81A6E" w14:paraId="0385C000" w14:textId="77777777" w:rsidTr="00850C54">
        <w:tc>
          <w:tcPr>
            <w:tcW w:w="2181" w:type="dxa"/>
            <w:tcBorders>
              <w:right w:val="single" w:sz="4" w:space="0" w:color="auto"/>
            </w:tcBorders>
          </w:tcPr>
          <w:p w14:paraId="43C0C4F2"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ОП</w:t>
            </w:r>
          </w:p>
        </w:tc>
        <w:tc>
          <w:tcPr>
            <w:tcW w:w="7194" w:type="dxa"/>
            <w:tcBorders>
              <w:left w:val="single" w:sz="4" w:space="0" w:color="auto"/>
            </w:tcBorders>
          </w:tcPr>
          <w:p w14:paraId="55504577"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Оперативна програма </w:t>
            </w:r>
          </w:p>
        </w:tc>
      </w:tr>
      <w:tr w:rsidR="006F5B92" w:rsidRPr="00E81A6E" w14:paraId="0961BBC1" w14:textId="77777777" w:rsidTr="00850C54">
        <w:tc>
          <w:tcPr>
            <w:tcW w:w="2181" w:type="dxa"/>
            <w:tcBorders>
              <w:right w:val="single" w:sz="4" w:space="0" w:color="auto"/>
            </w:tcBorders>
          </w:tcPr>
          <w:p w14:paraId="3D236457"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ПМС</w:t>
            </w:r>
          </w:p>
        </w:tc>
        <w:tc>
          <w:tcPr>
            <w:tcW w:w="7194" w:type="dxa"/>
            <w:tcBorders>
              <w:left w:val="single" w:sz="4" w:space="0" w:color="auto"/>
            </w:tcBorders>
          </w:tcPr>
          <w:p w14:paraId="11CD3B1E"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Постановление на Министерския съвет </w:t>
            </w:r>
          </w:p>
        </w:tc>
      </w:tr>
      <w:tr w:rsidR="006F5B92" w:rsidRPr="00E81A6E" w14:paraId="5636A9D9" w14:textId="77777777" w:rsidTr="00850C54">
        <w:tc>
          <w:tcPr>
            <w:tcW w:w="2181" w:type="dxa"/>
            <w:tcBorders>
              <w:right w:val="single" w:sz="4" w:space="0" w:color="auto"/>
            </w:tcBorders>
          </w:tcPr>
          <w:p w14:paraId="056C8407"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РМС</w:t>
            </w:r>
          </w:p>
        </w:tc>
        <w:tc>
          <w:tcPr>
            <w:tcW w:w="7194" w:type="dxa"/>
            <w:tcBorders>
              <w:left w:val="single" w:sz="4" w:space="0" w:color="auto"/>
            </w:tcBorders>
          </w:tcPr>
          <w:p w14:paraId="2F11BAC3"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 xml:space="preserve">Решение на Министерския съвет </w:t>
            </w:r>
          </w:p>
        </w:tc>
      </w:tr>
      <w:tr w:rsidR="006F5B92" w:rsidRPr="00E81A6E" w14:paraId="7CE200FC" w14:textId="77777777" w:rsidTr="00850C54">
        <w:tc>
          <w:tcPr>
            <w:tcW w:w="2181" w:type="dxa"/>
            <w:tcBorders>
              <w:right w:val="single" w:sz="4" w:space="0" w:color="auto"/>
            </w:tcBorders>
          </w:tcPr>
          <w:p w14:paraId="0A1ECFF7"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СДВР</w:t>
            </w:r>
          </w:p>
        </w:tc>
        <w:tc>
          <w:tcPr>
            <w:tcW w:w="7194" w:type="dxa"/>
            <w:tcBorders>
              <w:left w:val="single" w:sz="4" w:space="0" w:color="auto"/>
            </w:tcBorders>
          </w:tcPr>
          <w:p w14:paraId="5B1CD9F2" w14:textId="77777777" w:rsidR="006F5B92" w:rsidRPr="00E81A6E" w:rsidRDefault="006F5B92" w:rsidP="00882664">
            <w:pPr>
              <w:spacing w:after="0" w:line="360" w:lineRule="auto"/>
              <w:contextualSpacing/>
              <w:rPr>
                <w:rStyle w:val="st"/>
                <w:rFonts w:ascii="Times New Roman" w:hAnsi="Times New Roman" w:cs="Times New Roman"/>
                <w:sz w:val="24"/>
                <w:szCs w:val="24"/>
                <w:lang w:val="ru-RU"/>
              </w:rPr>
            </w:pPr>
            <w:r w:rsidRPr="00E81A6E">
              <w:rPr>
                <w:rStyle w:val="st"/>
                <w:rFonts w:ascii="Times New Roman" w:hAnsi="Times New Roman" w:cs="Times New Roman"/>
                <w:sz w:val="24"/>
                <w:szCs w:val="24"/>
                <w:lang w:val="ru-RU"/>
              </w:rPr>
              <w:t>Столична дирекция на вътрешните работи</w:t>
            </w:r>
          </w:p>
        </w:tc>
      </w:tr>
      <w:tr w:rsidR="006F5B92" w:rsidRPr="00E81A6E" w14:paraId="5FF447E5" w14:textId="77777777" w:rsidTr="00850C54">
        <w:tc>
          <w:tcPr>
            <w:tcW w:w="2181" w:type="dxa"/>
            <w:tcBorders>
              <w:right w:val="single" w:sz="4" w:space="0" w:color="auto"/>
            </w:tcBorders>
          </w:tcPr>
          <w:p w14:paraId="054CCF38"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СО</w:t>
            </w:r>
          </w:p>
        </w:tc>
        <w:tc>
          <w:tcPr>
            <w:tcW w:w="7194" w:type="dxa"/>
            <w:tcBorders>
              <w:left w:val="single" w:sz="4" w:space="0" w:color="auto"/>
            </w:tcBorders>
          </w:tcPr>
          <w:p w14:paraId="6EB63AA2" w14:textId="77777777" w:rsidR="006F5B92" w:rsidRPr="00E81A6E" w:rsidRDefault="006F5B92" w:rsidP="00882664">
            <w:pPr>
              <w:spacing w:after="0" w:line="360" w:lineRule="auto"/>
              <w:contextualSpacing/>
              <w:rPr>
                <w:rStyle w:val="st"/>
                <w:rFonts w:ascii="Times New Roman" w:hAnsi="Times New Roman" w:cs="Times New Roman"/>
                <w:sz w:val="24"/>
                <w:szCs w:val="24"/>
              </w:rPr>
            </w:pPr>
            <w:r w:rsidRPr="00E81A6E">
              <w:rPr>
                <w:rStyle w:val="st"/>
                <w:rFonts w:ascii="Times New Roman" w:hAnsi="Times New Roman" w:cs="Times New Roman"/>
                <w:sz w:val="24"/>
                <w:szCs w:val="24"/>
              </w:rPr>
              <w:t>Столична община</w:t>
            </w:r>
          </w:p>
        </w:tc>
      </w:tr>
      <w:tr w:rsidR="006F5B92" w:rsidRPr="00E81A6E" w14:paraId="1358FE39" w14:textId="77777777" w:rsidTr="00850C54">
        <w:tc>
          <w:tcPr>
            <w:tcW w:w="2181" w:type="dxa"/>
            <w:tcBorders>
              <w:right w:val="single" w:sz="4" w:space="0" w:color="auto"/>
            </w:tcBorders>
          </w:tcPr>
          <w:p w14:paraId="3976FD86" w14:textId="77777777" w:rsidR="006F5B92" w:rsidRPr="00E81A6E" w:rsidRDefault="006F5B92" w:rsidP="00882664">
            <w:pPr>
              <w:spacing w:after="0" w:line="360" w:lineRule="auto"/>
              <w:ind w:firstLine="720"/>
              <w:contextualSpacing/>
              <w:rPr>
                <w:rFonts w:ascii="Times New Roman" w:hAnsi="Times New Roman" w:cs="Times New Roman"/>
                <w:spacing w:val="-1"/>
                <w:sz w:val="24"/>
                <w:szCs w:val="24"/>
              </w:rPr>
            </w:pPr>
            <w:r w:rsidRPr="00E81A6E">
              <w:rPr>
                <w:rFonts w:ascii="Times New Roman" w:hAnsi="Times New Roman" w:cs="Times New Roman"/>
                <w:sz w:val="24"/>
                <w:szCs w:val="24"/>
              </w:rPr>
              <w:t>СОПФ</w:t>
            </w:r>
          </w:p>
        </w:tc>
        <w:tc>
          <w:tcPr>
            <w:tcW w:w="7194" w:type="dxa"/>
            <w:tcBorders>
              <w:left w:val="single" w:sz="4" w:space="0" w:color="auto"/>
            </w:tcBorders>
          </w:tcPr>
          <w:p w14:paraId="24E8D5A6"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Style w:val="st"/>
                <w:rFonts w:ascii="Times New Roman" w:hAnsi="Times New Roman" w:cs="Times New Roman"/>
                <w:sz w:val="24"/>
                <w:szCs w:val="24"/>
              </w:rPr>
              <w:t>Специализиран общински приватизационен фонд</w:t>
            </w:r>
          </w:p>
        </w:tc>
      </w:tr>
      <w:tr w:rsidR="006F5B92" w:rsidRPr="00E81A6E" w14:paraId="768DBD0D" w14:textId="77777777" w:rsidTr="00850C54">
        <w:tc>
          <w:tcPr>
            <w:tcW w:w="2181" w:type="dxa"/>
            <w:tcBorders>
              <w:right w:val="single" w:sz="4" w:space="0" w:color="auto"/>
            </w:tcBorders>
          </w:tcPr>
          <w:p w14:paraId="581D9E08"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СОС</w:t>
            </w:r>
          </w:p>
        </w:tc>
        <w:tc>
          <w:tcPr>
            <w:tcW w:w="7194" w:type="dxa"/>
            <w:tcBorders>
              <w:left w:val="single" w:sz="4" w:space="0" w:color="auto"/>
            </w:tcBorders>
          </w:tcPr>
          <w:p w14:paraId="03448422"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Столичен общински съвет</w:t>
            </w:r>
          </w:p>
        </w:tc>
      </w:tr>
      <w:tr w:rsidR="006F5B92" w:rsidRPr="00E81A6E" w14:paraId="79F67B88" w14:textId="77777777" w:rsidTr="00850C54">
        <w:tc>
          <w:tcPr>
            <w:tcW w:w="2181" w:type="dxa"/>
            <w:tcBorders>
              <w:right w:val="single" w:sz="4" w:space="0" w:color="auto"/>
            </w:tcBorders>
          </w:tcPr>
          <w:p w14:paraId="369A9E7A"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ТБО</w:t>
            </w:r>
          </w:p>
        </w:tc>
        <w:tc>
          <w:tcPr>
            <w:tcW w:w="7194" w:type="dxa"/>
            <w:tcBorders>
              <w:left w:val="single" w:sz="4" w:space="0" w:color="auto"/>
            </w:tcBorders>
          </w:tcPr>
          <w:p w14:paraId="64BE7760" w14:textId="77777777" w:rsidR="006F5B92" w:rsidRPr="00E81A6E" w:rsidRDefault="006F5B92" w:rsidP="00882664">
            <w:pPr>
              <w:spacing w:after="0" w:line="360" w:lineRule="auto"/>
              <w:contextualSpacing/>
              <w:rPr>
                <w:rFonts w:ascii="Times New Roman" w:hAnsi="Times New Roman" w:cs="Times New Roman"/>
                <w:sz w:val="24"/>
                <w:szCs w:val="24"/>
              </w:rPr>
            </w:pPr>
            <w:r w:rsidRPr="00E81A6E">
              <w:rPr>
                <w:rFonts w:ascii="Times New Roman" w:hAnsi="Times New Roman" w:cs="Times New Roman"/>
                <w:sz w:val="24"/>
                <w:szCs w:val="24"/>
              </w:rPr>
              <w:t>Твърди битови отпадъци</w:t>
            </w:r>
          </w:p>
        </w:tc>
      </w:tr>
      <w:tr w:rsidR="006F5B92" w:rsidRPr="00E81A6E" w14:paraId="2D906476" w14:textId="77777777" w:rsidTr="00850C54">
        <w:tc>
          <w:tcPr>
            <w:tcW w:w="2181" w:type="dxa"/>
            <w:tcBorders>
              <w:right w:val="single" w:sz="4" w:space="0" w:color="auto"/>
            </w:tcBorders>
          </w:tcPr>
          <w:p w14:paraId="7FEE128E"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ХИПЦ</w:t>
            </w:r>
          </w:p>
        </w:tc>
        <w:tc>
          <w:tcPr>
            <w:tcW w:w="7194" w:type="dxa"/>
            <w:tcBorders>
              <w:left w:val="single" w:sz="4" w:space="0" w:color="auto"/>
            </w:tcBorders>
          </w:tcPr>
          <w:p w14:paraId="6B4ABF0E" w14:textId="77777777" w:rsidR="006F5B92" w:rsidRPr="00E81A6E" w:rsidRDefault="006F5B92" w:rsidP="00882664">
            <w:pPr>
              <w:spacing w:after="0" w:line="360" w:lineRule="auto"/>
              <w:contextualSpacing/>
              <w:rPr>
                <w:rStyle w:val="st"/>
                <w:rFonts w:ascii="Times New Roman" w:hAnsi="Times New Roman" w:cs="Times New Roman"/>
                <w:sz w:val="24"/>
                <w:szCs w:val="24"/>
                <w:lang w:val="ru-RU"/>
              </w:rPr>
            </w:pPr>
            <w:r w:rsidRPr="00E81A6E">
              <w:rPr>
                <w:rStyle w:val="st"/>
                <w:rFonts w:ascii="Times New Roman" w:hAnsi="Times New Roman" w:cs="Times New Roman"/>
                <w:sz w:val="24"/>
                <w:szCs w:val="24"/>
                <w:lang w:val="ru-RU"/>
              </w:rPr>
              <w:t>Хармонизирани индекси на потребителските цени</w:t>
            </w:r>
          </w:p>
        </w:tc>
      </w:tr>
      <w:tr w:rsidR="006F5B92" w:rsidRPr="00E81A6E" w14:paraId="59924275" w14:textId="77777777" w:rsidTr="00850C54">
        <w:tc>
          <w:tcPr>
            <w:tcW w:w="2181" w:type="dxa"/>
            <w:tcBorders>
              <w:right w:val="single" w:sz="4" w:space="0" w:color="auto"/>
            </w:tcBorders>
          </w:tcPr>
          <w:p w14:paraId="176ADDC2" w14:textId="77777777" w:rsidR="006F5B92" w:rsidRPr="00E81A6E" w:rsidRDefault="006F5B92" w:rsidP="00882664">
            <w:pPr>
              <w:spacing w:after="0" w:line="36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ЦБ</w:t>
            </w:r>
          </w:p>
        </w:tc>
        <w:tc>
          <w:tcPr>
            <w:tcW w:w="7194" w:type="dxa"/>
            <w:tcBorders>
              <w:left w:val="single" w:sz="4" w:space="0" w:color="auto"/>
            </w:tcBorders>
          </w:tcPr>
          <w:p w14:paraId="79CA1B9D" w14:textId="77777777" w:rsidR="006F5B92" w:rsidRPr="00E81A6E" w:rsidRDefault="006F5B92" w:rsidP="00882664">
            <w:pPr>
              <w:spacing w:after="0" w:line="360" w:lineRule="auto"/>
              <w:contextualSpacing/>
              <w:rPr>
                <w:rStyle w:val="st"/>
                <w:rFonts w:ascii="Times New Roman" w:hAnsi="Times New Roman" w:cs="Times New Roman"/>
                <w:sz w:val="24"/>
                <w:szCs w:val="24"/>
              </w:rPr>
            </w:pPr>
            <w:r w:rsidRPr="00E81A6E">
              <w:rPr>
                <w:rStyle w:val="st"/>
                <w:rFonts w:ascii="Times New Roman" w:hAnsi="Times New Roman" w:cs="Times New Roman"/>
                <w:sz w:val="24"/>
                <w:szCs w:val="24"/>
              </w:rPr>
              <w:t>Централен (държавен) бюджет</w:t>
            </w:r>
          </w:p>
        </w:tc>
      </w:tr>
      <w:tr w:rsidR="006C68BF" w:rsidRPr="00E81A6E" w14:paraId="61434726" w14:textId="77777777" w:rsidTr="00850C54">
        <w:tc>
          <w:tcPr>
            <w:tcW w:w="2181" w:type="dxa"/>
            <w:tcBorders>
              <w:right w:val="single" w:sz="4" w:space="0" w:color="auto"/>
            </w:tcBorders>
          </w:tcPr>
          <w:p w14:paraId="5B0C560C" w14:textId="77777777" w:rsidR="006C68BF" w:rsidRPr="00E81A6E" w:rsidRDefault="006C68BF" w:rsidP="00882664">
            <w:pPr>
              <w:spacing w:after="0" w:line="36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РДФ</w:t>
            </w:r>
          </w:p>
        </w:tc>
        <w:tc>
          <w:tcPr>
            <w:tcW w:w="7194" w:type="dxa"/>
            <w:tcBorders>
              <w:left w:val="single" w:sz="4" w:space="0" w:color="auto"/>
            </w:tcBorders>
          </w:tcPr>
          <w:p w14:paraId="034DF882" w14:textId="77777777" w:rsidR="006C68BF" w:rsidRPr="00E81A6E" w:rsidRDefault="006C68BF" w:rsidP="00882664">
            <w:pPr>
              <w:spacing w:after="0" w:line="360" w:lineRule="auto"/>
              <w:contextualSpacing/>
              <w:rPr>
                <w:rStyle w:val="st"/>
                <w:rFonts w:ascii="Times New Roman" w:hAnsi="Times New Roman" w:cs="Times New Roman"/>
                <w:sz w:val="24"/>
                <w:szCs w:val="24"/>
              </w:rPr>
            </w:pPr>
            <w:r w:rsidRPr="00E81A6E">
              <w:rPr>
                <w:rStyle w:val="st"/>
                <w:rFonts w:ascii="Times New Roman" w:hAnsi="Times New Roman" w:cs="Times New Roman"/>
                <w:sz w:val="24"/>
                <w:szCs w:val="24"/>
                <w:lang w:val="en-GB"/>
              </w:rPr>
              <w:t>Г</w:t>
            </w:r>
            <w:r w:rsidRPr="00E81A6E">
              <w:rPr>
                <w:rStyle w:val="st"/>
                <w:rFonts w:ascii="Times New Roman" w:hAnsi="Times New Roman" w:cs="Times New Roman"/>
                <w:sz w:val="24"/>
                <w:szCs w:val="24"/>
              </w:rPr>
              <w:t>ориво, произведено от отпадъци</w:t>
            </w:r>
          </w:p>
        </w:tc>
      </w:tr>
    </w:tbl>
    <w:p w14:paraId="6D0D7849" w14:textId="77777777" w:rsidR="00296705" w:rsidRPr="00E81A6E" w:rsidRDefault="006F5B92" w:rsidP="00F55B06">
      <w:pPr>
        <w:spacing w:after="0"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rPr>
        <w:br w:type="page"/>
      </w:r>
      <w:r w:rsidR="00296705" w:rsidRPr="00E81A6E">
        <w:rPr>
          <w:rFonts w:ascii="Times New Roman" w:hAnsi="Times New Roman" w:cs="Times New Roman"/>
          <w:sz w:val="24"/>
          <w:szCs w:val="24"/>
        </w:rPr>
        <w:lastRenderedPageBreak/>
        <w:t>Уважаеми общински съветници,</w:t>
      </w:r>
    </w:p>
    <w:p w14:paraId="38CC868D" w14:textId="77777777" w:rsidR="001B1958" w:rsidRPr="00E81A6E" w:rsidRDefault="001B1958" w:rsidP="00F55B06">
      <w:pPr>
        <w:spacing w:after="0" w:line="240" w:lineRule="auto"/>
        <w:ind w:firstLine="720"/>
        <w:contextualSpacing/>
        <w:rPr>
          <w:rFonts w:ascii="Times New Roman" w:hAnsi="Times New Roman" w:cs="Times New Roman"/>
          <w:sz w:val="24"/>
          <w:szCs w:val="24"/>
          <w:lang w:val="bg-BG"/>
        </w:rPr>
      </w:pPr>
    </w:p>
    <w:p w14:paraId="195296C8" w14:textId="77777777" w:rsidR="00296705" w:rsidRPr="00E81A6E" w:rsidRDefault="00296705"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 настоящия доклад и приложенията към него ви представяме основните параметри, залегнали в Проекта за бюджет на Столична община за 202</w:t>
      </w:r>
      <w:r w:rsidR="004D70F7"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г., съобразени с целите и приоритетите на общината, при спазване на принципите за съставяне на бюджет.</w:t>
      </w:r>
    </w:p>
    <w:p w14:paraId="106F3C0B" w14:textId="77777777" w:rsidR="00531869" w:rsidRPr="00E81A6E" w:rsidRDefault="00296705" w:rsidP="00F55B06">
      <w:pPr>
        <w:pStyle w:val="BodyText"/>
        <w:spacing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Проектът за бюджет е изготвен съобразно изискванията на Закона за държавния бюджет на Република България </w:t>
      </w:r>
      <w:r w:rsidR="00601176" w:rsidRPr="00E81A6E">
        <w:rPr>
          <w:rFonts w:ascii="Times New Roman" w:hAnsi="Times New Roman" w:cs="Times New Roman"/>
          <w:sz w:val="24"/>
          <w:szCs w:val="24"/>
          <w:lang w:val="bg-BG"/>
        </w:rPr>
        <w:t xml:space="preserve">/ЗДБРБ/ </w:t>
      </w:r>
      <w:r w:rsidRPr="00E81A6E">
        <w:rPr>
          <w:rFonts w:ascii="Times New Roman" w:hAnsi="Times New Roman" w:cs="Times New Roman"/>
          <w:sz w:val="24"/>
          <w:szCs w:val="24"/>
          <w:lang w:val="bg-BG"/>
        </w:rPr>
        <w:t>за 202</w:t>
      </w:r>
      <w:r w:rsidR="004D70F7"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 xml:space="preserve">г., Закона за публичните финанси, </w:t>
      </w:r>
      <w:r w:rsidRPr="00E81A6E">
        <w:rPr>
          <w:rFonts w:ascii="Times New Roman" w:hAnsi="Times New Roman" w:cs="Times New Roman"/>
          <w:sz w:val="24"/>
          <w:szCs w:val="24"/>
          <w:lang w:val="ru-RU"/>
        </w:rPr>
        <w:t>Наредбата за условията и реда за съставяне на бюджетната прогноза за следващите три години, за съставяне, приемане, изпълнение и отчитане на бюджета на Столична община,</w:t>
      </w:r>
      <w:r w:rsidRPr="00E81A6E">
        <w:rPr>
          <w:rFonts w:ascii="Times New Roman" w:hAnsi="Times New Roman" w:cs="Times New Roman"/>
          <w:sz w:val="24"/>
          <w:szCs w:val="24"/>
          <w:lang w:val="bg-BG"/>
        </w:rPr>
        <w:t xml:space="preserve"> Решение  </w:t>
      </w:r>
      <w:r w:rsidR="005B6A2C" w:rsidRPr="00E81A6E">
        <w:rPr>
          <w:rFonts w:ascii="Times New Roman" w:hAnsi="Times New Roman" w:cs="Times New Roman"/>
          <w:sz w:val="24"/>
          <w:szCs w:val="24"/>
          <w:lang w:eastAsia="bg-BG"/>
        </w:rPr>
        <w:t>№</w:t>
      </w:r>
      <w:r w:rsidR="00601176" w:rsidRPr="00E81A6E">
        <w:rPr>
          <w:rFonts w:ascii="Times New Roman" w:hAnsi="Times New Roman" w:cs="Times New Roman"/>
          <w:sz w:val="24"/>
          <w:szCs w:val="24"/>
          <w:lang w:val="bg-BG" w:eastAsia="bg-BG"/>
        </w:rPr>
        <w:t xml:space="preserve"> </w:t>
      </w:r>
      <w:r w:rsidR="004D70F7" w:rsidRPr="00E81A6E">
        <w:rPr>
          <w:rFonts w:ascii="Times New Roman" w:hAnsi="Times New Roman" w:cs="Times New Roman"/>
          <w:sz w:val="24"/>
          <w:szCs w:val="24"/>
          <w:lang w:eastAsia="bg-BG"/>
        </w:rPr>
        <w:t xml:space="preserve">64 на Министерския съвет от 31 януари 2020 г. (изменено с РМС № 273 от 23 април 2020 г. и изменено и допълнено с РМС № 447 от 3 юли 2020 г.) </w:t>
      </w:r>
      <w:r w:rsidRPr="00E81A6E">
        <w:rPr>
          <w:rFonts w:ascii="Times New Roman" w:hAnsi="Times New Roman" w:cs="Times New Roman"/>
          <w:sz w:val="24"/>
          <w:szCs w:val="24"/>
          <w:lang w:val="bg-BG"/>
        </w:rPr>
        <w:t xml:space="preserve">за бюджетната процедура за </w:t>
      </w:r>
      <w:r w:rsidR="008E5645" w:rsidRPr="00E81A6E">
        <w:rPr>
          <w:rFonts w:ascii="Times New Roman" w:hAnsi="Times New Roman" w:cs="Times New Roman"/>
          <w:sz w:val="24"/>
          <w:szCs w:val="24"/>
          <w:lang w:val="bg-BG"/>
        </w:rPr>
        <w:t>202</w:t>
      </w:r>
      <w:r w:rsidR="004D70F7" w:rsidRPr="00E81A6E">
        <w:rPr>
          <w:rFonts w:ascii="Times New Roman" w:hAnsi="Times New Roman" w:cs="Times New Roman"/>
          <w:sz w:val="24"/>
          <w:szCs w:val="24"/>
        </w:rPr>
        <w:t>1</w:t>
      </w:r>
      <w:r w:rsidR="008E5645" w:rsidRPr="00E81A6E">
        <w:rPr>
          <w:rFonts w:ascii="Times New Roman" w:hAnsi="Times New Roman" w:cs="Times New Roman"/>
          <w:sz w:val="24"/>
          <w:szCs w:val="24"/>
          <w:lang w:val="bg-BG"/>
        </w:rPr>
        <w:t>г.</w:t>
      </w:r>
      <w:r w:rsidRPr="00E81A6E">
        <w:rPr>
          <w:rFonts w:ascii="Times New Roman" w:hAnsi="Times New Roman" w:cs="Times New Roman"/>
          <w:sz w:val="24"/>
          <w:szCs w:val="24"/>
          <w:lang w:val="bg-BG"/>
        </w:rPr>
        <w:t xml:space="preserve">, </w:t>
      </w:r>
      <w:r w:rsidR="007C6A1A" w:rsidRPr="00E81A6E">
        <w:rPr>
          <w:rFonts w:ascii="Times New Roman" w:hAnsi="Times New Roman" w:cs="Times New Roman"/>
          <w:sz w:val="24"/>
          <w:szCs w:val="24"/>
          <w:lang w:val="bg-BG"/>
        </w:rPr>
        <w:t>одобрена</w:t>
      </w:r>
      <w:r w:rsidR="005B6A2C" w:rsidRPr="00E81A6E">
        <w:rPr>
          <w:rFonts w:ascii="Times New Roman" w:hAnsi="Times New Roman" w:cs="Times New Roman"/>
          <w:sz w:val="24"/>
          <w:szCs w:val="24"/>
          <w:lang w:val="bg-BG"/>
        </w:rPr>
        <w:t>та</w:t>
      </w:r>
      <w:r w:rsidR="007C6A1A" w:rsidRPr="00E81A6E">
        <w:rPr>
          <w:rFonts w:ascii="Times New Roman" w:hAnsi="Times New Roman" w:cs="Times New Roman"/>
          <w:sz w:val="24"/>
          <w:szCs w:val="24"/>
          <w:lang w:val="bg-BG"/>
        </w:rPr>
        <w:t xml:space="preserve"> с РМС № 963 от 23.12.2020г. </w:t>
      </w:r>
      <w:r w:rsidR="00531869" w:rsidRPr="00E81A6E">
        <w:rPr>
          <w:rFonts w:ascii="Times New Roman" w:eastAsia="Times New Roman" w:hAnsi="Times New Roman" w:cs="Times New Roman"/>
          <w:sz w:val="24"/>
          <w:szCs w:val="24"/>
          <w:lang w:eastAsia="zh-CN"/>
        </w:rPr>
        <w:t>Актуализираната средносрочна бюджетна прогноза за периода 2021-2023г.</w:t>
      </w:r>
      <w:r w:rsidR="007C6A1A" w:rsidRPr="00E81A6E">
        <w:rPr>
          <w:rFonts w:ascii="Times New Roman" w:eastAsia="Times New Roman" w:hAnsi="Times New Roman" w:cs="Times New Roman"/>
          <w:sz w:val="24"/>
          <w:szCs w:val="24"/>
          <w:lang w:val="bg-BG" w:eastAsia="zh-CN"/>
        </w:rPr>
        <w:t xml:space="preserve"> н</w:t>
      </w:r>
      <w:r w:rsidR="00531869" w:rsidRPr="00E81A6E">
        <w:rPr>
          <w:rFonts w:ascii="Times New Roman" w:eastAsia="Times New Roman" w:hAnsi="Times New Roman" w:cs="Times New Roman"/>
          <w:sz w:val="24"/>
          <w:szCs w:val="24"/>
          <w:lang w:val="bg-BG" w:eastAsia="zh-CN"/>
        </w:rPr>
        <w:t xml:space="preserve">а Министерство на финансите, </w:t>
      </w:r>
      <w:r w:rsidR="00274C52" w:rsidRPr="00E81A6E">
        <w:rPr>
          <w:rFonts w:ascii="Times New Roman" w:hAnsi="Times New Roman" w:cs="Times New Roman"/>
          <w:sz w:val="24"/>
          <w:szCs w:val="24"/>
          <w:lang w:val="bg-BG"/>
        </w:rPr>
        <w:t>ПМС №</w:t>
      </w:r>
      <w:r w:rsidR="00601176" w:rsidRPr="00E81A6E">
        <w:rPr>
          <w:rFonts w:ascii="Times New Roman" w:hAnsi="Times New Roman" w:cs="Times New Roman"/>
          <w:sz w:val="24"/>
          <w:szCs w:val="24"/>
          <w:lang w:val="bg-BG"/>
        </w:rPr>
        <w:t xml:space="preserve"> </w:t>
      </w:r>
      <w:r w:rsidR="00531869" w:rsidRPr="00E81A6E">
        <w:rPr>
          <w:rFonts w:ascii="Times New Roman" w:hAnsi="Times New Roman" w:cs="Times New Roman"/>
          <w:sz w:val="24"/>
          <w:szCs w:val="24"/>
        </w:rPr>
        <w:t>408</w:t>
      </w:r>
      <w:r w:rsidR="007C6A1A" w:rsidRPr="00E81A6E">
        <w:rPr>
          <w:rFonts w:ascii="Times New Roman" w:hAnsi="Times New Roman" w:cs="Times New Roman"/>
          <w:sz w:val="24"/>
          <w:szCs w:val="24"/>
          <w:lang w:val="bg-BG"/>
        </w:rPr>
        <w:t xml:space="preserve"> от </w:t>
      </w:r>
      <w:r w:rsidR="00531869" w:rsidRPr="00E81A6E">
        <w:rPr>
          <w:rFonts w:ascii="Times New Roman" w:hAnsi="Times New Roman" w:cs="Times New Roman"/>
          <w:sz w:val="24"/>
          <w:szCs w:val="24"/>
        </w:rPr>
        <w:t>23</w:t>
      </w:r>
      <w:r w:rsidR="00274C52" w:rsidRPr="00E81A6E">
        <w:rPr>
          <w:rFonts w:ascii="Times New Roman" w:hAnsi="Times New Roman" w:cs="Times New Roman"/>
          <w:sz w:val="24"/>
          <w:szCs w:val="24"/>
          <w:lang w:val="bg-BG"/>
        </w:rPr>
        <w:t>.12.20</w:t>
      </w:r>
      <w:r w:rsidR="00531869" w:rsidRPr="00E81A6E">
        <w:rPr>
          <w:rFonts w:ascii="Times New Roman" w:hAnsi="Times New Roman" w:cs="Times New Roman"/>
          <w:sz w:val="24"/>
          <w:szCs w:val="24"/>
        </w:rPr>
        <w:t>20</w:t>
      </w:r>
      <w:r w:rsidR="00274C52" w:rsidRPr="00E81A6E">
        <w:rPr>
          <w:rFonts w:ascii="Times New Roman" w:hAnsi="Times New Roman" w:cs="Times New Roman"/>
          <w:sz w:val="24"/>
          <w:szCs w:val="24"/>
          <w:lang w:val="bg-BG"/>
        </w:rPr>
        <w:t>г. за изпълнение на ЗДБРБ за 202</w:t>
      </w:r>
      <w:r w:rsidR="00531869" w:rsidRPr="00E81A6E">
        <w:rPr>
          <w:rFonts w:ascii="Times New Roman" w:hAnsi="Times New Roman" w:cs="Times New Roman"/>
          <w:sz w:val="24"/>
          <w:szCs w:val="24"/>
        </w:rPr>
        <w:t>1</w:t>
      </w:r>
      <w:r w:rsidR="00274C52" w:rsidRPr="00E81A6E">
        <w:rPr>
          <w:rFonts w:ascii="Times New Roman" w:hAnsi="Times New Roman" w:cs="Times New Roman"/>
          <w:sz w:val="24"/>
          <w:szCs w:val="24"/>
          <w:lang w:val="bg-BG"/>
        </w:rPr>
        <w:t>г.</w:t>
      </w:r>
      <w:r w:rsidR="008D48D6" w:rsidRPr="00E81A6E">
        <w:rPr>
          <w:rFonts w:ascii="Times New Roman" w:hAnsi="Times New Roman" w:cs="Times New Roman"/>
          <w:sz w:val="24"/>
          <w:szCs w:val="24"/>
          <w:lang w:val="bg-BG"/>
        </w:rPr>
        <w:t xml:space="preserve"> и</w:t>
      </w:r>
      <w:r w:rsidR="00531869" w:rsidRPr="00E81A6E">
        <w:rPr>
          <w:rFonts w:ascii="Times New Roman" w:hAnsi="Times New Roman" w:cs="Times New Roman"/>
          <w:sz w:val="24"/>
          <w:szCs w:val="24"/>
        </w:rPr>
        <w:t xml:space="preserve"> РМ</w:t>
      </w:r>
      <w:r w:rsidR="007C6A1A" w:rsidRPr="00E81A6E">
        <w:rPr>
          <w:rFonts w:ascii="Times New Roman" w:hAnsi="Times New Roman" w:cs="Times New Roman"/>
          <w:sz w:val="24"/>
          <w:szCs w:val="24"/>
          <w:lang w:val="bg-BG"/>
        </w:rPr>
        <w:t>С №</w:t>
      </w:r>
      <w:r w:rsidR="00531869" w:rsidRPr="00E81A6E">
        <w:rPr>
          <w:rFonts w:ascii="Times New Roman" w:hAnsi="Times New Roman" w:cs="Times New Roman"/>
          <w:sz w:val="24"/>
          <w:szCs w:val="24"/>
        </w:rPr>
        <w:t xml:space="preserve"> 790 от 30.10.2020г. </w:t>
      </w:r>
      <w:r w:rsidR="00531869" w:rsidRPr="00E81A6E">
        <w:rPr>
          <w:rFonts w:ascii="Times New Roman" w:hAnsi="Times New Roman" w:cs="Times New Roman"/>
          <w:sz w:val="24"/>
          <w:szCs w:val="24"/>
          <w:lang w:val="bg-BG"/>
        </w:rPr>
        <w:t>за</w:t>
      </w:r>
      <w:r w:rsidR="00531869" w:rsidRPr="00E81A6E">
        <w:rPr>
          <w:rFonts w:ascii="Times New Roman" w:hAnsi="Times New Roman" w:cs="Times New Roman"/>
          <w:sz w:val="24"/>
          <w:szCs w:val="24"/>
        </w:rPr>
        <w:t xml:space="preserve"> прие</w:t>
      </w:r>
      <w:r w:rsidR="00531869" w:rsidRPr="00E81A6E">
        <w:rPr>
          <w:rFonts w:ascii="Times New Roman" w:hAnsi="Times New Roman" w:cs="Times New Roman"/>
          <w:sz w:val="24"/>
          <w:szCs w:val="24"/>
          <w:lang w:val="bg-BG"/>
        </w:rPr>
        <w:t>мане на</w:t>
      </w:r>
      <w:r w:rsidR="00531869" w:rsidRPr="00E81A6E">
        <w:rPr>
          <w:rFonts w:ascii="Times New Roman" w:hAnsi="Times New Roman" w:cs="Times New Roman"/>
          <w:sz w:val="24"/>
          <w:szCs w:val="24"/>
        </w:rPr>
        <w:t xml:space="preserve"> стандарти за делегираните от държавата дейности с натурални и стойностни показатели за 2021</w:t>
      </w:r>
      <w:r w:rsidR="007C6A1A" w:rsidRPr="00E81A6E">
        <w:rPr>
          <w:rFonts w:ascii="Times New Roman" w:hAnsi="Times New Roman" w:cs="Times New Roman"/>
          <w:sz w:val="24"/>
          <w:szCs w:val="24"/>
          <w:lang w:val="bg-BG"/>
        </w:rPr>
        <w:t xml:space="preserve"> </w:t>
      </w:r>
      <w:r w:rsidR="00531869" w:rsidRPr="00E81A6E">
        <w:rPr>
          <w:rFonts w:ascii="Times New Roman" w:hAnsi="Times New Roman" w:cs="Times New Roman"/>
          <w:sz w:val="24"/>
          <w:szCs w:val="24"/>
        </w:rPr>
        <w:t>г.</w:t>
      </w:r>
      <w:r w:rsidR="00AD0D08" w:rsidRPr="00E81A6E">
        <w:rPr>
          <w:rFonts w:ascii="Times New Roman" w:hAnsi="Times New Roman" w:cs="Times New Roman"/>
          <w:sz w:val="24"/>
          <w:szCs w:val="24"/>
          <w:lang w:val="bg-BG"/>
        </w:rPr>
        <w:t>, изменено и допълнено с РМС №972/2020г.</w:t>
      </w:r>
    </w:p>
    <w:p w14:paraId="165F2D1E" w14:textId="77777777" w:rsidR="00C85C2C" w:rsidRPr="00E81A6E" w:rsidRDefault="00C85C2C" w:rsidP="00C85C2C">
      <w:pPr>
        <w:pStyle w:val="BodyText"/>
        <w:spacing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Стратегически цели и стратегическа инфраструктура – това отличава бюджетът на София за 2021 г. Предлагам проект на бюджет, който е фокусиран върху разрешаване на 3 стратегически цели:</w:t>
      </w:r>
    </w:p>
    <w:p w14:paraId="5C529770" w14:textId="77777777" w:rsidR="00C85C2C" w:rsidRPr="00E81A6E" w:rsidRDefault="00C85C2C" w:rsidP="00C85C2C">
      <w:pPr>
        <w:pStyle w:val="BodyText"/>
        <w:spacing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 </w:t>
      </w:r>
    </w:p>
    <w:p w14:paraId="67887EB9" w14:textId="77777777" w:rsidR="00C85C2C" w:rsidRPr="00E81A6E" w:rsidRDefault="00C85C2C" w:rsidP="00350B12">
      <w:pPr>
        <w:pStyle w:val="BodyText"/>
        <w:numPr>
          <w:ilvl w:val="0"/>
          <w:numId w:val="45"/>
        </w:numPr>
        <w:spacing w:line="240" w:lineRule="auto"/>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Първата цел, за която предлагам и най-голям обем от инвестиции, е изграждане на стратегическата инфраструктура на София. При едно много важно условие – без да намалим, а напротив, увеличавайки спрямо 2020, средствата за ремонти в кварталите.</w:t>
      </w:r>
    </w:p>
    <w:p w14:paraId="7A7273A4" w14:textId="77777777" w:rsidR="00C85C2C" w:rsidRPr="00E81A6E" w:rsidRDefault="00C85C2C" w:rsidP="00350B12">
      <w:pPr>
        <w:pStyle w:val="BodyText"/>
        <w:numPr>
          <w:ilvl w:val="0"/>
          <w:numId w:val="45"/>
        </w:numPr>
        <w:spacing w:line="240" w:lineRule="auto"/>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Втората стратегическа цел е осигуряване на места в детските градини на всички деца от 3 до 6 годишна възраст. В бюджет 2021 залагаме средства за изграждане, разширение и основни ремонти на детски градини, ясли и училища. </w:t>
      </w:r>
    </w:p>
    <w:p w14:paraId="13CB6520" w14:textId="77777777" w:rsidR="00C85C2C" w:rsidRPr="00E81A6E" w:rsidRDefault="00C85C2C" w:rsidP="00350B12">
      <w:pPr>
        <w:pStyle w:val="BodyText"/>
        <w:numPr>
          <w:ilvl w:val="0"/>
          <w:numId w:val="45"/>
        </w:numPr>
        <w:spacing w:line="240" w:lineRule="auto"/>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Третият стратегически приоритет е подобряване на качеството на въздуха и чистотата в града. Това включва изпълнението на големия проект за подмяна на старите печки на дърва и въглища с нови екологични уреди за отопление, рекултивация на старите депа, стартиране изпълнението на  проект</w:t>
      </w:r>
      <w:r w:rsidR="00951B43" w:rsidRPr="00E81A6E">
        <w:rPr>
          <w:rFonts w:ascii="Times New Roman" w:hAnsi="Times New Roman" w:cs="Times New Roman"/>
          <w:sz w:val="24"/>
          <w:szCs w:val="24"/>
          <w:lang w:val="bg-BG"/>
        </w:rPr>
        <w:t>а</w:t>
      </w:r>
      <w:r w:rsidRPr="00E81A6E">
        <w:rPr>
          <w:rFonts w:ascii="Times New Roman" w:hAnsi="Times New Roman" w:cs="Times New Roman"/>
          <w:sz w:val="24"/>
          <w:szCs w:val="24"/>
          <w:lang w:val="bg-BG"/>
        </w:rPr>
        <w:t xml:space="preserve"> за изграждане на инсталация за производство на енергия от РДФ, която да се използва за отопление.</w:t>
      </w:r>
    </w:p>
    <w:p w14:paraId="7CF32A8D" w14:textId="77777777" w:rsidR="007D0994" w:rsidRPr="00E81A6E" w:rsidRDefault="007D0994" w:rsidP="00C85C2C">
      <w:pPr>
        <w:pStyle w:val="BodyText"/>
        <w:spacing w:line="240" w:lineRule="auto"/>
        <w:ind w:left="-360" w:firstLine="720"/>
        <w:contextualSpacing/>
        <w:rPr>
          <w:rFonts w:ascii="Times New Roman" w:hAnsi="Times New Roman" w:cs="Times New Roman"/>
          <w:sz w:val="24"/>
          <w:szCs w:val="24"/>
          <w:lang w:val="bg-BG"/>
        </w:rPr>
      </w:pPr>
    </w:p>
    <w:p w14:paraId="17B470B1" w14:textId="77777777" w:rsidR="00C85C2C" w:rsidRPr="00E81A6E" w:rsidRDefault="00C85C2C">
      <w:pPr>
        <w:spacing w:after="0" w:line="240" w:lineRule="auto"/>
        <w:rPr>
          <w:rFonts w:ascii="Times New Roman" w:eastAsia="MS Mincho" w:hAnsi="Times New Roman" w:cs="Times New Roman"/>
          <w:sz w:val="24"/>
          <w:szCs w:val="24"/>
          <w:highlight w:val="yellow"/>
          <w:lang w:val="bg-BG" w:eastAsia="en-US"/>
        </w:rPr>
      </w:pPr>
      <w:r w:rsidRPr="00E81A6E">
        <w:rPr>
          <w:rFonts w:ascii="Times New Roman" w:hAnsi="Times New Roman" w:cs="Times New Roman"/>
          <w:sz w:val="24"/>
          <w:szCs w:val="24"/>
          <w:highlight w:val="yellow"/>
          <w:lang w:val="bg-BG"/>
        </w:rPr>
        <w:br w:type="page"/>
      </w:r>
    </w:p>
    <w:p w14:paraId="0053E762" w14:textId="77777777" w:rsidR="007D0994" w:rsidRPr="00E81A6E" w:rsidRDefault="007D0994" w:rsidP="00F55B06">
      <w:pPr>
        <w:pStyle w:val="BodyText"/>
        <w:spacing w:line="240" w:lineRule="auto"/>
        <w:ind w:firstLine="720"/>
        <w:contextualSpacing/>
        <w:rPr>
          <w:rFonts w:ascii="Times New Roman" w:hAnsi="Times New Roman" w:cs="Times New Roman"/>
          <w:sz w:val="24"/>
          <w:szCs w:val="24"/>
          <w:lang w:val="bg-BG"/>
        </w:rPr>
      </w:pPr>
    </w:p>
    <w:p w14:paraId="2DE04D1B" w14:textId="77777777" w:rsidR="00E46A9F" w:rsidRPr="00E81A6E" w:rsidRDefault="00E46A9F" w:rsidP="00F55B06">
      <w:pPr>
        <w:pStyle w:val="Heading1"/>
        <w:spacing w:before="0" w:after="0"/>
        <w:ind w:firstLine="720"/>
        <w:contextualSpacing/>
        <w:jc w:val="both"/>
        <w:rPr>
          <w:rFonts w:ascii="Times New Roman" w:hAnsi="Times New Roman" w:cs="Times New Roman"/>
          <w:color w:val="auto"/>
          <w:sz w:val="24"/>
          <w:szCs w:val="24"/>
          <w:lang w:val="ru-RU"/>
        </w:rPr>
      </w:pPr>
      <w:bookmarkStart w:id="2" w:name="_Toc461615256"/>
      <w:bookmarkStart w:id="3" w:name="_Toc499639767"/>
      <w:bookmarkStart w:id="4" w:name="_Toc500496063"/>
      <w:bookmarkStart w:id="5" w:name="_Toc500496410"/>
      <w:bookmarkStart w:id="6" w:name="_Toc503629595"/>
      <w:bookmarkStart w:id="7" w:name="_Toc61971759"/>
      <w:r w:rsidRPr="00E81A6E">
        <w:rPr>
          <w:rFonts w:ascii="Times New Roman" w:hAnsi="Times New Roman" w:cs="Times New Roman"/>
          <w:color w:val="auto"/>
          <w:sz w:val="24"/>
          <w:szCs w:val="24"/>
          <w:lang w:val="ru-RU"/>
        </w:rPr>
        <w:t>ТЕНДЕНЦИИ В РАЗВИТИЕТО НА ИКОНОМИКАТА И МАКРОИКОНОМИЧЕСКА ПРОГНОЗА</w:t>
      </w:r>
      <w:bookmarkEnd w:id="2"/>
      <w:bookmarkEnd w:id="3"/>
      <w:bookmarkEnd w:id="4"/>
      <w:bookmarkEnd w:id="5"/>
      <w:bookmarkEnd w:id="6"/>
      <w:bookmarkEnd w:id="7"/>
    </w:p>
    <w:p w14:paraId="10FAC8A0" w14:textId="77777777" w:rsidR="00C240A0" w:rsidRPr="00E81A6E" w:rsidRDefault="00C240A0" w:rsidP="00C240A0">
      <w:pPr>
        <w:rPr>
          <w:rFonts w:ascii="Times New Roman" w:hAnsi="Times New Roman" w:cs="Times New Roman"/>
          <w:sz w:val="24"/>
          <w:szCs w:val="24"/>
          <w:lang w:val="ru-RU"/>
        </w:rPr>
      </w:pPr>
    </w:p>
    <w:p w14:paraId="7FEF4C62" w14:textId="77777777" w:rsidR="00E46A9F" w:rsidRPr="00E81A6E" w:rsidRDefault="00E46A9F" w:rsidP="00F55B06">
      <w:pPr>
        <w:pStyle w:val="Heading3"/>
        <w:spacing w:before="0"/>
        <w:ind w:firstLine="720"/>
        <w:contextualSpacing/>
        <w:rPr>
          <w:rFonts w:ascii="Times New Roman" w:hAnsi="Times New Roman" w:cs="Times New Roman"/>
          <w:color w:val="auto"/>
          <w:sz w:val="24"/>
          <w:szCs w:val="24"/>
          <w:lang w:val="ru-RU"/>
        </w:rPr>
      </w:pPr>
      <w:bookmarkStart w:id="8" w:name="_Toc61971760"/>
      <w:r w:rsidRPr="00E81A6E">
        <w:rPr>
          <w:rFonts w:ascii="Times New Roman" w:hAnsi="Times New Roman" w:cs="Times New Roman"/>
          <w:color w:val="auto"/>
          <w:sz w:val="24"/>
          <w:szCs w:val="24"/>
          <w:lang w:val="ru-RU"/>
        </w:rPr>
        <w:t>Средносрочна макроикономическа прогноза</w:t>
      </w:r>
      <w:bookmarkEnd w:id="8"/>
    </w:p>
    <w:p w14:paraId="1A523687" w14:textId="77777777" w:rsidR="00E46A9F" w:rsidRPr="00E81A6E" w:rsidRDefault="00E46A9F" w:rsidP="00F55B06">
      <w:pPr>
        <w:spacing w:after="0" w:line="240" w:lineRule="auto"/>
        <w:ind w:firstLine="720"/>
        <w:contextualSpacing/>
        <w:jc w:val="both"/>
        <w:rPr>
          <w:rFonts w:ascii="Times New Roman" w:hAnsi="Times New Roman" w:cs="Times New Roman"/>
          <w:sz w:val="24"/>
          <w:szCs w:val="24"/>
          <w:lang w:eastAsia="zh-CN"/>
        </w:rPr>
      </w:pPr>
      <w:r w:rsidRPr="00E81A6E">
        <w:rPr>
          <w:rFonts w:ascii="Times New Roman" w:hAnsi="Times New Roman" w:cs="Times New Roman"/>
          <w:sz w:val="24"/>
          <w:szCs w:val="24"/>
          <w:lang w:eastAsia="zh-CN"/>
        </w:rPr>
        <w:t xml:space="preserve">Актуализираната средносрочна бюджетна прогноза </w:t>
      </w:r>
      <w:r w:rsidRPr="00E81A6E">
        <w:rPr>
          <w:rFonts w:ascii="Times New Roman" w:hAnsi="Times New Roman" w:cs="Times New Roman"/>
          <w:sz w:val="24"/>
          <w:szCs w:val="24"/>
          <w:lang w:val="bg-BG" w:eastAsia="zh-CN"/>
        </w:rPr>
        <w:t xml:space="preserve">на Министерство на финансите </w:t>
      </w:r>
      <w:r w:rsidRPr="00E81A6E">
        <w:rPr>
          <w:rFonts w:ascii="Times New Roman" w:hAnsi="Times New Roman" w:cs="Times New Roman"/>
          <w:sz w:val="24"/>
          <w:szCs w:val="24"/>
          <w:lang w:eastAsia="zh-CN"/>
        </w:rPr>
        <w:t>за периода 2021-2023 г. е изготвена на основание чл. 79 от Закона за публичните финанси. Тя включва средносрочните икономически перспективи и основни допускания, фискалните цели и приоритети на правителството.</w:t>
      </w:r>
    </w:p>
    <w:p w14:paraId="5F02944F" w14:textId="77777777" w:rsidR="00E46A9F" w:rsidRPr="00E81A6E" w:rsidRDefault="00E46A9F" w:rsidP="00F55B06">
      <w:pPr>
        <w:spacing w:after="0" w:line="240" w:lineRule="auto"/>
        <w:ind w:firstLine="720"/>
        <w:contextualSpacing/>
        <w:jc w:val="both"/>
        <w:rPr>
          <w:rFonts w:ascii="Times New Roman" w:hAnsi="Times New Roman" w:cs="Times New Roman"/>
          <w:sz w:val="24"/>
          <w:szCs w:val="24"/>
          <w:lang w:eastAsia="zh-CN" w:bidi="bg-BG"/>
        </w:rPr>
      </w:pPr>
      <w:r w:rsidRPr="00E81A6E">
        <w:rPr>
          <w:rFonts w:ascii="Times New Roman" w:hAnsi="Times New Roman" w:cs="Times New Roman"/>
          <w:sz w:val="24"/>
          <w:szCs w:val="24"/>
          <w:lang w:eastAsia="zh-CN"/>
        </w:rPr>
        <w:t xml:space="preserve">Безпрецедентната ситуация, при която огромен брой държави, в т.ч. и България, се борят с всички налични ресурси за ограничаване на разпространението на пандемията от COVID-19 и последвалия спад на икономическата активност и заетостта се отрази крайно неблагоприятно върху редица сектори на икономиката и се превърна в предизвикателство по отношение на устойчивостта на публичните финанси в следващия тригодишен период. </w:t>
      </w:r>
    </w:p>
    <w:p w14:paraId="01008E8B" w14:textId="77777777" w:rsidR="00E46A9F" w:rsidRPr="00E81A6E" w:rsidRDefault="00E46A9F" w:rsidP="00F55B06">
      <w:pPr>
        <w:spacing w:after="0" w:line="240" w:lineRule="auto"/>
        <w:ind w:firstLine="720"/>
        <w:contextualSpacing/>
        <w:jc w:val="both"/>
        <w:rPr>
          <w:rFonts w:ascii="Times New Roman" w:hAnsi="Times New Roman" w:cs="Times New Roman"/>
          <w:sz w:val="24"/>
          <w:szCs w:val="24"/>
          <w:lang w:eastAsia="zh-CN"/>
        </w:rPr>
      </w:pPr>
      <w:r w:rsidRPr="00E81A6E">
        <w:rPr>
          <w:rFonts w:ascii="Times New Roman" w:hAnsi="Times New Roman" w:cs="Times New Roman"/>
          <w:sz w:val="24"/>
          <w:szCs w:val="24"/>
          <w:lang w:eastAsia="zh-CN"/>
        </w:rPr>
        <w:t xml:space="preserve">Провежданата последователна и балансирана фискална политика през последните години в условията на макроикономическа стабилност, която се явява надеждна основа за устойчивост на бюджетната рамка, дава възможност за посрещане на настоящите предизвикателства за макроикономическото и бюджетно развитие и перспективите за </w:t>
      </w:r>
      <w:r w:rsidRPr="00E81A6E">
        <w:rPr>
          <w:rFonts w:ascii="Times New Roman" w:hAnsi="Times New Roman" w:cs="Times New Roman"/>
          <w:sz w:val="24"/>
          <w:szCs w:val="24"/>
          <w:lang w:val="bg-BG" w:eastAsia="zh-CN"/>
        </w:rPr>
        <w:t>по-</w:t>
      </w:r>
      <w:r w:rsidRPr="00E81A6E">
        <w:rPr>
          <w:rFonts w:ascii="Times New Roman" w:hAnsi="Times New Roman" w:cs="Times New Roman"/>
          <w:sz w:val="24"/>
          <w:szCs w:val="24"/>
          <w:lang w:eastAsia="zh-CN"/>
        </w:rPr>
        <w:t>бързо възстановяване и завръщане по пътя на икономическия растеж и за постигане на фискалните цели.</w:t>
      </w:r>
    </w:p>
    <w:p w14:paraId="0D6916EF" w14:textId="77777777" w:rsidR="00E46A9F" w:rsidRPr="00E81A6E" w:rsidRDefault="00E46A9F" w:rsidP="00F55B06">
      <w:pPr>
        <w:spacing w:after="0" w:line="240" w:lineRule="auto"/>
        <w:ind w:firstLine="720"/>
        <w:contextualSpacing/>
        <w:jc w:val="both"/>
        <w:rPr>
          <w:rFonts w:ascii="Times New Roman" w:hAnsi="Times New Roman" w:cs="Times New Roman"/>
          <w:sz w:val="24"/>
          <w:szCs w:val="24"/>
          <w:lang w:eastAsia="zh-CN"/>
        </w:rPr>
      </w:pPr>
      <w:r w:rsidRPr="00E81A6E">
        <w:rPr>
          <w:rFonts w:ascii="Times New Roman" w:hAnsi="Times New Roman" w:cs="Times New Roman"/>
          <w:sz w:val="24"/>
          <w:szCs w:val="24"/>
          <w:lang w:eastAsia="zh-CN"/>
        </w:rPr>
        <w:t>Присъединяването на България към Банковия съюз и на българския лев към Валутния механизъм II, както и постепенният процес по подготовка за приемане на еврото</w:t>
      </w:r>
      <w:r w:rsidR="00601176" w:rsidRPr="00E81A6E">
        <w:rPr>
          <w:rFonts w:ascii="Times New Roman" w:hAnsi="Times New Roman" w:cs="Times New Roman"/>
          <w:sz w:val="24"/>
          <w:szCs w:val="24"/>
          <w:lang w:val="bg-BG" w:eastAsia="zh-CN"/>
        </w:rPr>
        <w:t>,</w:t>
      </w:r>
      <w:r w:rsidRPr="00E81A6E">
        <w:rPr>
          <w:rFonts w:ascii="Times New Roman" w:hAnsi="Times New Roman" w:cs="Times New Roman"/>
          <w:sz w:val="24"/>
          <w:szCs w:val="24"/>
          <w:lang w:eastAsia="zh-CN"/>
        </w:rPr>
        <w:t xml:space="preserve"> също ще спомогнат за поддържането на макроикономическа и фискална стабилност в контекста на негативните рискове пред растежа и нарастващата политическа несигурност.</w:t>
      </w:r>
    </w:p>
    <w:p w14:paraId="13A1774A" w14:textId="77777777" w:rsidR="00E46A9F" w:rsidRPr="00E81A6E" w:rsidRDefault="00E46A9F" w:rsidP="00F55B06">
      <w:pPr>
        <w:spacing w:after="0" w:line="240" w:lineRule="auto"/>
        <w:ind w:firstLine="720"/>
        <w:contextualSpacing/>
        <w:jc w:val="both"/>
        <w:rPr>
          <w:rFonts w:ascii="Times New Roman" w:hAnsi="Times New Roman" w:cs="Times New Roman"/>
          <w:sz w:val="24"/>
          <w:szCs w:val="24"/>
          <w:lang w:eastAsia="zh-CN" w:bidi="bg-BG"/>
        </w:rPr>
      </w:pPr>
      <w:r w:rsidRPr="00E81A6E">
        <w:rPr>
          <w:rFonts w:ascii="Times New Roman" w:hAnsi="Times New Roman" w:cs="Times New Roman"/>
          <w:sz w:val="24"/>
          <w:szCs w:val="24"/>
          <w:lang w:eastAsia="zh-CN" w:bidi="bg-BG"/>
        </w:rPr>
        <w:t>Предприетите мерки в условията на извънредно положение и в периода на извънредна епидемична обстановка</w:t>
      </w:r>
      <w:r w:rsidR="008D48D6" w:rsidRPr="00E81A6E">
        <w:rPr>
          <w:rFonts w:ascii="Times New Roman" w:hAnsi="Times New Roman" w:cs="Times New Roman"/>
          <w:sz w:val="24"/>
          <w:szCs w:val="24"/>
          <w:lang w:val="bg-BG" w:eastAsia="zh-CN" w:bidi="bg-BG"/>
        </w:rPr>
        <w:t>,</w:t>
      </w:r>
      <w:r w:rsidRPr="00E81A6E">
        <w:rPr>
          <w:rFonts w:ascii="Times New Roman" w:hAnsi="Times New Roman" w:cs="Times New Roman"/>
          <w:sz w:val="24"/>
          <w:szCs w:val="24"/>
          <w:lang w:eastAsia="zh-CN" w:bidi="bg-BG"/>
        </w:rPr>
        <w:t xml:space="preserve"> предполагат увеличаване на публичните разходи на фона на по-ниски приходи. При ситуация на извънредна епидемична обстановка в страната, се предвижда одобряване на фискални стимули чрез финансиране на инвестиционни разходи, които чрез търсения мултиплициращ ефект да смекчат негативите от кризата, породена от пандемията, върху растежа и съответно да подпомогнат пазара на труда при тежката ситуация, в която се намираме. </w:t>
      </w:r>
    </w:p>
    <w:p w14:paraId="346A1428"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zh-CN" w:bidi="bg-BG"/>
        </w:rPr>
      </w:pPr>
    </w:p>
    <w:p w14:paraId="6494228D"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ПРЕГЛЕД НА РАЗВИТИЕТО НА СВЕТОВНАТА И ЕВРОПЕЙСКАТА ИКОНОМИКА</w:t>
      </w:r>
    </w:p>
    <w:p w14:paraId="21FE5F84"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Разпространението на пандемията от COVID-19 и предприетите мерки за ограничаване на заразата имаха съществен отрицателен ефект върху икономическата динамика в глобален план. Засегнати бяха както развитите, така и развиващите се икономики. Докато в Китай негативният ефект бе най-силен през първо тримесечие, след което се наблюдава възстановяване на икономическата активност, за много от страните най-голям спад бе реализиран през април-юни, когато в действие бяха наложени най-стриктните мерки за ограничаване на вируса. Икономиката на САЩ отбеляза рекордно понижение от 9% на годишна база през второ тримесечие. За същия период БВП на Европейския съюз намаля с 14%, а на Турция с 9,9%. Съизмерими спадове бяха регистрирани и при други основни търговски партньори на България.</w:t>
      </w:r>
    </w:p>
    <w:p w14:paraId="36A3167B" w14:textId="77777777" w:rsidR="00262FFB" w:rsidRPr="00E81A6E" w:rsidRDefault="00262FFB" w:rsidP="00882664">
      <w:pPr>
        <w:spacing w:after="0" w:line="240" w:lineRule="auto"/>
        <w:contextualSpacing/>
        <w:jc w:val="center"/>
        <w:rPr>
          <w:rFonts w:ascii="Times New Roman" w:hAnsi="Times New Roman" w:cs="Times New Roman"/>
          <w:sz w:val="24"/>
          <w:szCs w:val="24"/>
          <w:lang w:val="bg-BG"/>
        </w:rPr>
      </w:pPr>
      <w:r w:rsidRPr="00E81A6E">
        <w:rPr>
          <w:rFonts w:ascii="Times New Roman" w:hAnsi="Times New Roman" w:cs="Times New Roman"/>
          <w:b/>
          <w:bCs/>
          <w:sz w:val="24"/>
          <w:szCs w:val="24"/>
          <w:lang w:eastAsia="zh-CN"/>
        </w:rPr>
        <w:lastRenderedPageBreak/>
        <w:t xml:space="preserve">Реален БВП </w:t>
      </w:r>
      <w:r w:rsidRPr="00E81A6E">
        <w:rPr>
          <w:rFonts w:ascii="Times New Roman" w:hAnsi="Times New Roman" w:cs="Times New Roman"/>
          <w:sz w:val="24"/>
          <w:szCs w:val="24"/>
        </w:rPr>
        <w:t>(% промяна спрямо съответното тримесечие на предходната година</w:t>
      </w:r>
      <w:r w:rsidRPr="00E81A6E">
        <w:rPr>
          <w:rFonts w:ascii="Times New Roman" w:hAnsi="Times New Roman" w:cs="Times New Roman"/>
          <w:noProof/>
          <w:sz w:val="24"/>
          <w:szCs w:val="24"/>
          <w:lang w:val="bg-BG" w:eastAsia="bg-BG"/>
        </w:rPr>
        <w:drawing>
          <wp:inline distT="0" distB="0" distL="0" distR="0" wp14:anchorId="4A05777A" wp14:editId="4EC5700A">
            <wp:extent cx="5269230" cy="2510155"/>
            <wp:effectExtent l="0" t="0" r="26670" b="2349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A24A1F" w14:textId="77777777" w:rsidR="00262FFB" w:rsidRPr="00E81A6E" w:rsidRDefault="00262FFB" w:rsidP="00F55B06">
      <w:pPr>
        <w:spacing w:after="0" w:line="240" w:lineRule="auto"/>
        <w:ind w:firstLine="720"/>
        <w:contextualSpacing/>
        <w:jc w:val="right"/>
        <w:rPr>
          <w:rFonts w:ascii="Times New Roman" w:hAnsi="Times New Roman" w:cs="Times New Roman"/>
          <w:noProof/>
          <w:sz w:val="24"/>
          <w:szCs w:val="24"/>
        </w:rPr>
      </w:pPr>
      <w:r w:rsidRPr="00E81A6E">
        <w:rPr>
          <w:rFonts w:ascii="Times New Roman" w:hAnsi="Times New Roman" w:cs="Times New Roman"/>
          <w:sz w:val="24"/>
          <w:szCs w:val="24"/>
        </w:rPr>
        <w:t>Източник: Евростат, Американско бюро за икономически анализи</w:t>
      </w:r>
    </w:p>
    <w:p w14:paraId="52024E25" w14:textId="77777777" w:rsidR="00262FFB" w:rsidRPr="00E81A6E" w:rsidRDefault="00262FFB" w:rsidP="00F55B06">
      <w:pPr>
        <w:spacing w:after="0" w:line="240" w:lineRule="auto"/>
        <w:ind w:firstLine="720"/>
        <w:contextualSpacing/>
        <w:jc w:val="both"/>
        <w:rPr>
          <w:rFonts w:ascii="Times New Roman" w:hAnsi="Times New Roman" w:cs="Times New Roman"/>
          <w:sz w:val="24"/>
          <w:szCs w:val="24"/>
          <w:lang w:val="bg-BG" w:eastAsia="en-US"/>
        </w:rPr>
      </w:pPr>
    </w:p>
    <w:p w14:paraId="3D7CB4D6"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ОСНОВНИ ДОПУСКАНИЯ, НА КОИТО СЕ ОСНОВАВА ПРОГНОЗАТА И МАКРОИКОНОМИЧЕСКАТА РАМКА ЗА ПЕРИОДА 2020-2023 </w:t>
      </w:r>
      <w:r w:rsidR="00E46A9F" w:rsidRPr="00E81A6E">
        <w:rPr>
          <w:rFonts w:ascii="Times New Roman" w:hAnsi="Times New Roman" w:cs="Times New Roman"/>
          <w:sz w:val="24"/>
          <w:szCs w:val="24"/>
          <w:lang w:val="bg-BG" w:eastAsia="en-US"/>
        </w:rPr>
        <w:t>г</w:t>
      </w:r>
      <w:r w:rsidRPr="00E81A6E">
        <w:rPr>
          <w:rFonts w:ascii="Times New Roman" w:hAnsi="Times New Roman" w:cs="Times New Roman"/>
          <w:sz w:val="24"/>
          <w:szCs w:val="24"/>
          <w:lang w:val="bg-BG" w:eastAsia="en-US"/>
        </w:rPr>
        <w:t>.</w:t>
      </w:r>
    </w:p>
    <w:p w14:paraId="743255F2"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След облекчаването на част от ограничителните мерки и отварянето на икономиките в края на второ тримесечие на 2020 г. актуалните данни показват известно възстановяване на икономическата активност през третото тримесечие при продължаваща несигурност по отношение разпрост</w:t>
      </w:r>
      <w:r w:rsidR="005035E1" w:rsidRPr="00E81A6E">
        <w:rPr>
          <w:rFonts w:ascii="Times New Roman" w:hAnsi="Times New Roman" w:cs="Times New Roman"/>
          <w:sz w:val="24"/>
          <w:szCs w:val="24"/>
          <w:lang w:val="bg-BG" w:eastAsia="en-US"/>
        </w:rPr>
        <w:t xml:space="preserve">ранението на вируса. </w:t>
      </w:r>
      <w:r w:rsidR="00601176" w:rsidRPr="00E81A6E">
        <w:rPr>
          <w:rFonts w:ascii="Times New Roman" w:hAnsi="Times New Roman" w:cs="Times New Roman"/>
          <w:sz w:val="24"/>
          <w:szCs w:val="24"/>
          <w:lang w:val="bg-BG" w:eastAsia="en-US"/>
        </w:rPr>
        <w:t>П</w:t>
      </w:r>
      <w:r w:rsidRPr="00E81A6E">
        <w:rPr>
          <w:rFonts w:ascii="Times New Roman" w:hAnsi="Times New Roman" w:cs="Times New Roman"/>
          <w:sz w:val="24"/>
          <w:szCs w:val="24"/>
          <w:lang w:val="bg-BG" w:eastAsia="en-US"/>
        </w:rPr>
        <w:t>рогноза</w:t>
      </w:r>
      <w:r w:rsidR="000E2BC0" w:rsidRPr="00E81A6E">
        <w:rPr>
          <w:rFonts w:ascii="Times New Roman" w:hAnsi="Times New Roman" w:cs="Times New Roman"/>
          <w:sz w:val="24"/>
          <w:szCs w:val="24"/>
          <w:lang w:val="bg-BG" w:eastAsia="en-US"/>
        </w:rPr>
        <w:t>та</w:t>
      </w:r>
      <w:r w:rsidRPr="00E81A6E">
        <w:rPr>
          <w:rFonts w:ascii="Times New Roman" w:hAnsi="Times New Roman" w:cs="Times New Roman"/>
          <w:sz w:val="24"/>
          <w:szCs w:val="24"/>
          <w:lang w:val="bg-BG" w:eastAsia="en-US"/>
        </w:rPr>
        <w:t xml:space="preserve"> е основана на допускането, че най-големият шок върху икономиката на ЕС и в глобален план е бил през второто тримесечие. </w:t>
      </w:r>
      <w:r w:rsidR="00F17CBF" w:rsidRPr="00E81A6E">
        <w:rPr>
          <w:rFonts w:ascii="Times New Roman" w:hAnsi="Times New Roman" w:cs="Times New Roman"/>
          <w:sz w:val="24"/>
          <w:szCs w:val="24"/>
          <w:lang w:val="bg-BG" w:eastAsia="en-US"/>
        </w:rPr>
        <w:t>О</w:t>
      </w:r>
      <w:r w:rsidRPr="00E81A6E">
        <w:rPr>
          <w:rFonts w:ascii="Times New Roman" w:hAnsi="Times New Roman" w:cs="Times New Roman"/>
          <w:sz w:val="24"/>
          <w:szCs w:val="24"/>
          <w:lang w:val="bg-BG" w:eastAsia="en-US"/>
        </w:rPr>
        <w:t>чертава</w:t>
      </w:r>
      <w:r w:rsidR="00F17CBF" w:rsidRPr="00E81A6E">
        <w:rPr>
          <w:rFonts w:ascii="Times New Roman" w:hAnsi="Times New Roman" w:cs="Times New Roman"/>
          <w:sz w:val="24"/>
          <w:szCs w:val="24"/>
          <w:lang w:val="bg-BG" w:eastAsia="en-US"/>
        </w:rPr>
        <w:t xml:space="preserve"> се за 2020г.</w:t>
      </w:r>
      <w:r w:rsidRPr="00E81A6E">
        <w:rPr>
          <w:rFonts w:ascii="Times New Roman" w:hAnsi="Times New Roman" w:cs="Times New Roman"/>
          <w:sz w:val="24"/>
          <w:szCs w:val="24"/>
          <w:lang w:val="bg-BG" w:eastAsia="en-US"/>
        </w:rPr>
        <w:t xml:space="preserve"> годишните данни да отразяват най-големите спадове, отчитани от десетилетия. Очаква се европейската икономика да се свие с 8,3%, докато спадът на световния БВП </w:t>
      </w:r>
      <w:r w:rsidR="00F17CBF" w:rsidRPr="00E81A6E">
        <w:rPr>
          <w:rFonts w:ascii="Times New Roman" w:hAnsi="Times New Roman" w:cs="Times New Roman"/>
          <w:sz w:val="24"/>
          <w:szCs w:val="24"/>
          <w:lang w:val="bg-BG" w:eastAsia="en-US"/>
        </w:rPr>
        <w:t>да</w:t>
      </w:r>
      <w:r w:rsidRPr="00E81A6E">
        <w:rPr>
          <w:rFonts w:ascii="Times New Roman" w:hAnsi="Times New Roman" w:cs="Times New Roman"/>
          <w:sz w:val="24"/>
          <w:szCs w:val="24"/>
          <w:lang w:val="bg-BG" w:eastAsia="en-US"/>
        </w:rPr>
        <w:t xml:space="preserve"> е 4,7%. Растежи ще се наблюдават през 2021 г., като икономическата активност в ЕС ще нарасне с 5,8%, а на света - с 5,1%. Възстановяването ще е по-бързо при развиващите се пазари, като световната икономика ще достигне предкризисните си нива по-рано спрямо европейската.</w:t>
      </w:r>
    </w:p>
    <w:p w14:paraId="4A182DCF"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1CA232A5" w14:textId="77777777" w:rsidR="00E46A9F" w:rsidRPr="00E81A6E" w:rsidRDefault="00E46A9F" w:rsidP="00F55B06">
      <w:pPr>
        <w:spacing w:after="0" w:line="240" w:lineRule="auto"/>
        <w:ind w:firstLine="720"/>
        <w:contextualSpacing/>
        <w:rPr>
          <w:rFonts w:ascii="Times New Roman" w:hAnsi="Times New Roman" w:cs="Times New Roman"/>
          <w:b/>
          <w:bCs/>
          <w:smallCaps/>
          <w:sz w:val="24"/>
          <w:szCs w:val="24"/>
          <w:lang w:val="bg-BG" w:eastAsia="en-US"/>
        </w:rPr>
      </w:pPr>
      <w:bookmarkStart w:id="9" w:name="_Toc54860838"/>
      <w:r w:rsidRPr="00E81A6E">
        <w:rPr>
          <w:rFonts w:ascii="Times New Roman" w:hAnsi="Times New Roman" w:cs="Times New Roman"/>
          <w:b/>
          <w:bCs/>
          <w:smallCaps/>
          <w:sz w:val="24"/>
          <w:szCs w:val="24"/>
          <w:lang w:val="bg-BG" w:eastAsia="en-US"/>
        </w:rPr>
        <w:t>Основни допускания за развитието на външната среда</w:t>
      </w:r>
      <w:bookmarkEnd w:id="9"/>
    </w:p>
    <w:tbl>
      <w:tblPr>
        <w:tblStyle w:val="LightShading"/>
        <w:tblW w:w="9108" w:type="dxa"/>
        <w:shd w:val="clear" w:color="auto" w:fill="FFFFFF" w:themeFill="background1"/>
        <w:tblLook w:val="04A0" w:firstRow="1" w:lastRow="0" w:firstColumn="1" w:lastColumn="0" w:noHBand="0" w:noVBand="1"/>
      </w:tblPr>
      <w:tblGrid>
        <w:gridCol w:w="3936"/>
        <w:gridCol w:w="772"/>
        <w:gridCol w:w="880"/>
        <w:gridCol w:w="880"/>
        <w:gridCol w:w="880"/>
        <w:gridCol w:w="880"/>
        <w:gridCol w:w="880"/>
      </w:tblGrid>
      <w:tr w:rsidR="00E81A6E" w:rsidRPr="00E81A6E" w14:paraId="3C8E961A" w14:textId="77777777" w:rsidTr="00CF286C">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936" w:type="dxa"/>
            <w:vMerge w:val="restart"/>
            <w:tcBorders>
              <w:top w:val="single" w:sz="4" w:space="0" w:color="auto"/>
            </w:tcBorders>
            <w:shd w:val="clear" w:color="auto" w:fill="FFFFFF" w:themeFill="background1"/>
            <w:noWrap/>
            <w:vAlign w:val="center"/>
            <w:hideMark/>
          </w:tcPr>
          <w:p w14:paraId="157DB29E" w14:textId="77777777" w:rsidR="00F01B5D" w:rsidRPr="00E81A6E" w:rsidRDefault="00F01B5D" w:rsidP="00CF286C">
            <w:pPr>
              <w:jc w:val="center"/>
              <w:rPr>
                <w:rFonts w:ascii="Times New Roman" w:eastAsia="Times New Roman" w:hAnsi="Times New Roman" w:cs="Times New Roman"/>
                <w:b w:val="0"/>
                <w:bCs w:val="0"/>
                <w:color w:val="auto"/>
                <w:szCs w:val="24"/>
                <w:lang w:eastAsia="en-GB"/>
              </w:rPr>
            </w:pPr>
            <w:r w:rsidRPr="00E81A6E">
              <w:rPr>
                <w:rFonts w:ascii="Times New Roman" w:eastAsia="Times New Roman" w:hAnsi="Times New Roman" w:cs="Times New Roman"/>
                <w:b w:val="0"/>
                <w:bCs w:val="0"/>
                <w:color w:val="auto"/>
                <w:sz w:val="20"/>
                <w:szCs w:val="20"/>
                <w:lang w:eastAsia="en-GB"/>
              </w:rPr>
              <w:t>Международна среда</w:t>
            </w:r>
          </w:p>
        </w:tc>
        <w:tc>
          <w:tcPr>
            <w:tcW w:w="1652" w:type="dxa"/>
            <w:gridSpan w:val="2"/>
            <w:tcBorders>
              <w:top w:val="single" w:sz="4" w:space="0" w:color="auto"/>
              <w:bottom w:val="single" w:sz="4" w:space="0" w:color="auto"/>
            </w:tcBorders>
            <w:shd w:val="clear" w:color="auto" w:fill="FFFFFF" w:themeFill="background1"/>
            <w:noWrap/>
            <w:vAlign w:val="center"/>
            <w:hideMark/>
          </w:tcPr>
          <w:p w14:paraId="123A269A" w14:textId="77777777" w:rsidR="00F01B5D" w:rsidRPr="00E81A6E" w:rsidRDefault="00F01B5D" w:rsidP="00CF286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p>
          <w:p w14:paraId="5BE79532"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Отчетни данни</w:t>
            </w:r>
          </w:p>
        </w:tc>
        <w:tc>
          <w:tcPr>
            <w:tcW w:w="3520" w:type="dxa"/>
            <w:gridSpan w:val="4"/>
            <w:tcBorders>
              <w:top w:val="single" w:sz="4" w:space="0" w:color="auto"/>
              <w:bottom w:val="single" w:sz="4" w:space="0" w:color="auto"/>
            </w:tcBorders>
            <w:shd w:val="clear" w:color="auto" w:fill="FFFFFF" w:themeFill="background1"/>
            <w:noWrap/>
            <w:hideMark/>
          </w:tcPr>
          <w:p w14:paraId="5E53824B"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p>
          <w:p w14:paraId="44BA5D00"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Прогноза</w:t>
            </w:r>
          </w:p>
        </w:tc>
      </w:tr>
      <w:tr w:rsidR="00E81A6E" w:rsidRPr="00E81A6E" w14:paraId="5532FC02" w14:textId="77777777" w:rsidTr="00CF286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936" w:type="dxa"/>
            <w:vMerge/>
            <w:tcBorders>
              <w:bottom w:val="single" w:sz="4" w:space="0" w:color="auto"/>
            </w:tcBorders>
            <w:shd w:val="clear" w:color="auto" w:fill="FFFFFF" w:themeFill="background1"/>
            <w:vAlign w:val="center"/>
            <w:hideMark/>
          </w:tcPr>
          <w:p w14:paraId="452139C3" w14:textId="77777777" w:rsidR="00F01B5D" w:rsidRPr="00E81A6E" w:rsidRDefault="00F01B5D" w:rsidP="00CF286C">
            <w:pPr>
              <w:spacing w:after="0"/>
              <w:jc w:val="center"/>
              <w:rPr>
                <w:rFonts w:ascii="Times New Roman" w:eastAsia="Times New Roman" w:hAnsi="Times New Roman" w:cs="Times New Roman"/>
                <w:b w:val="0"/>
                <w:bCs w:val="0"/>
                <w:color w:val="auto"/>
                <w:sz w:val="20"/>
                <w:szCs w:val="20"/>
                <w:lang w:eastAsia="en-GB"/>
              </w:rPr>
            </w:pPr>
          </w:p>
        </w:tc>
        <w:tc>
          <w:tcPr>
            <w:tcW w:w="772" w:type="dxa"/>
            <w:tcBorders>
              <w:top w:val="single" w:sz="4" w:space="0" w:color="auto"/>
              <w:bottom w:val="single" w:sz="4" w:space="0" w:color="auto"/>
            </w:tcBorders>
            <w:shd w:val="clear" w:color="auto" w:fill="FFFFFF" w:themeFill="background1"/>
            <w:noWrap/>
            <w:hideMark/>
          </w:tcPr>
          <w:p w14:paraId="26B1D146"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2018</w:t>
            </w:r>
          </w:p>
        </w:tc>
        <w:tc>
          <w:tcPr>
            <w:tcW w:w="880" w:type="dxa"/>
            <w:tcBorders>
              <w:top w:val="single" w:sz="4" w:space="0" w:color="auto"/>
              <w:bottom w:val="single" w:sz="4" w:space="0" w:color="auto"/>
            </w:tcBorders>
            <w:shd w:val="clear" w:color="auto" w:fill="FFFFFF" w:themeFill="background1"/>
            <w:noWrap/>
            <w:hideMark/>
          </w:tcPr>
          <w:p w14:paraId="0EB61F55"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2019</w:t>
            </w:r>
          </w:p>
        </w:tc>
        <w:tc>
          <w:tcPr>
            <w:tcW w:w="880" w:type="dxa"/>
            <w:tcBorders>
              <w:top w:val="single" w:sz="4" w:space="0" w:color="auto"/>
              <w:bottom w:val="single" w:sz="4" w:space="0" w:color="auto"/>
            </w:tcBorders>
            <w:shd w:val="clear" w:color="auto" w:fill="FFFFFF" w:themeFill="background1"/>
            <w:noWrap/>
            <w:hideMark/>
          </w:tcPr>
          <w:p w14:paraId="7BDCBC7E"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2020</w:t>
            </w:r>
          </w:p>
        </w:tc>
        <w:tc>
          <w:tcPr>
            <w:tcW w:w="880" w:type="dxa"/>
            <w:tcBorders>
              <w:top w:val="single" w:sz="4" w:space="0" w:color="auto"/>
              <w:bottom w:val="single" w:sz="4" w:space="0" w:color="auto"/>
            </w:tcBorders>
            <w:shd w:val="clear" w:color="auto" w:fill="FFFFFF" w:themeFill="background1"/>
            <w:noWrap/>
            <w:hideMark/>
          </w:tcPr>
          <w:p w14:paraId="5E382BF3"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2021</w:t>
            </w:r>
          </w:p>
        </w:tc>
        <w:tc>
          <w:tcPr>
            <w:tcW w:w="880" w:type="dxa"/>
            <w:tcBorders>
              <w:top w:val="single" w:sz="4" w:space="0" w:color="auto"/>
              <w:bottom w:val="single" w:sz="4" w:space="0" w:color="auto"/>
            </w:tcBorders>
            <w:shd w:val="clear" w:color="auto" w:fill="FFFFFF" w:themeFill="background1"/>
            <w:noWrap/>
            <w:hideMark/>
          </w:tcPr>
          <w:p w14:paraId="2BFB04FC"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2022</w:t>
            </w:r>
          </w:p>
        </w:tc>
        <w:tc>
          <w:tcPr>
            <w:tcW w:w="880" w:type="dxa"/>
            <w:tcBorders>
              <w:top w:val="single" w:sz="4" w:space="0" w:color="auto"/>
              <w:bottom w:val="single" w:sz="4" w:space="0" w:color="auto"/>
            </w:tcBorders>
            <w:shd w:val="clear" w:color="auto" w:fill="FFFFFF" w:themeFill="background1"/>
            <w:noWrap/>
            <w:hideMark/>
          </w:tcPr>
          <w:p w14:paraId="57FB0D1D" w14:textId="77777777" w:rsidR="00F01B5D" w:rsidRPr="00E81A6E" w:rsidRDefault="00F01B5D" w:rsidP="00CF286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en-GB"/>
              </w:rPr>
            </w:pPr>
            <w:r w:rsidRPr="00E81A6E">
              <w:rPr>
                <w:rFonts w:ascii="Times New Roman" w:eastAsia="Times New Roman" w:hAnsi="Times New Roman" w:cs="Times New Roman"/>
                <w:b/>
                <w:bCs/>
                <w:color w:val="auto"/>
                <w:sz w:val="20"/>
                <w:szCs w:val="20"/>
                <w:lang w:eastAsia="en-GB"/>
              </w:rPr>
              <w:t>2023</w:t>
            </w:r>
          </w:p>
        </w:tc>
      </w:tr>
      <w:tr w:rsidR="00E81A6E" w:rsidRPr="00E81A6E" w14:paraId="1BDAC1A8"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auto"/>
              <w:bottom w:val="nil"/>
            </w:tcBorders>
            <w:shd w:val="clear" w:color="auto" w:fill="FFFFFF" w:themeFill="background1"/>
            <w:hideMark/>
          </w:tcPr>
          <w:p w14:paraId="1FFAB6D7"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Световна икономика [реален растеж, %]</w:t>
            </w:r>
          </w:p>
        </w:tc>
        <w:tc>
          <w:tcPr>
            <w:tcW w:w="772" w:type="dxa"/>
            <w:tcBorders>
              <w:top w:val="single" w:sz="4" w:space="0" w:color="auto"/>
              <w:bottom w:val="nil"/>
            </w:tcBorders>
            <w:shd w:val="clear" w:color="auto" w:fill="FFFFFF" w:themeFill="background1"/>
            <w:noWrap/>
            <w:hideMark/>
          </w:tcPr>
          <w:p w14:paraId="70450EF9"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3,6</w:t>
            </w:r>
          </w:p>
        </w:tc>
        <w:tc>
          <w:tcPr>
            <w:tcW w:w="880" w:type="dxa"/>
            <w:tcBorders>
              <w:top w:val="single" w:sz="4" w:space="0" w:color="auto"/>
              <w:bottom w:val="nil"/>
            </w:tcBorders>
            <w:shd w:val="clear" w:color="auto" w:fill="FFFFFF" w:themeFill="background1"/>
            <w:noWrap/>
            <w:hideMark/>
          </w:tcPr>
          <w:p w14:paraId="245C617E"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2,9</w:t>
            </w:r>
          </w:p>
        </w:tc>
        <w:tc>
          <w:tcPr>
            <w:tcW w:w="880" w:type="dxa"/>
            <w:tcBorders>
              <w:top w:val="single" w:sz="4" w:space="0" w:color="auto"/>
              <w:bottom w:val="nil"/>
            </w:tcBorders>
            <w:shd w:val="clear" w:color="auto" w:fill="FFFFFF" w:themeFill="background1"/>
            <w:noWrap/>
            <w:hideMark/>
          </w:tcPr>
          <w:p w14:paraId="0714DC25"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-4,7</w:t>
            </w:r>
          </w:p>
        </w:tc>
        <w:tc>
          <w:tcPr>
            <w:tcW w:w="880" w:type="dxa"/>
            <w:tcBorders>
              <w:top w:val="single" w:sz="4" w:space="0" w:color="auto"/>
              <w:bottom w:val="nil"/>
            </w:tcBorders>
            <w:shd w:val="clear" w:color="auto" w:fill="FFFFFF" w:themeFill="background1"/>
            <w:noWrap/>
            <w:hideMark/>
          </w:tcPr>
          <w:p w14:paraId="464E21DA"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5,1</w:t>
            </w:r>
          </w:p>
        </w:tc>
        <w:tc>
          <w:tcPr>
            <w:tcW w:w="880" w:type="dxa"/>
            <w:tcBorders>
              <w:top w:val="single" w:sz="4" w:space="0" w:color="auto"/>
              <w:bottom w:val="nil"/>
            </w:tcBorders>
            <w:shd w:val="clear" w:color="auto" w:fill="FFFFFF" w:themeFill="background1"/>
            <w:noWrap/>
            <w:hideMark/>
          </w:tcPr>
          <w:p w14:paraId="3E757AB1"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3,4</w:t>
            </w:r>
          </w:p>
        </w:tc>
        <w:tc>
          <w:tcPr>
            <w:tcW w:w="880" w:type="dxa"/>
            <w:tcBorders>
              <w:top w:val="single" w:sz="4" w:space="0" w:color="auto"/>
              <w:bottom w:val="nil"/>
            </w:tcBorders>
            <w:shd w:val="clear" w:color="auto" w:fill="FFFFFF" w:themeFill="background1"/>
            <w:noWrap/>
            <w:hideMark/>
          </w:tcPr>
          <w:p w14:paraId="3BF0B19E"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3,4</w:t>
            </w:r>
          </w:p>
        </w:tc>
      </w:tr>
      <w:tr w:rsidR="00E81A6E" w:rsidRPr="00E81A6E" w14:paraId="2B4628DF"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936" w:type="dxa"/>
            <w:tcBorders>
              <w:top w:val="nil"/>
            </w:tcBorders>
            <w:shd w:val="clear" w:color="auto" w:fill="FFFFFF" w:themeFill="background1"/>
            <w:hideMark/>
          </w:tcPr>
          <w:p w14:paraId="324419E8"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Европейска икономика - ЕС [%]</w:t>
            </w:r>
          </w:p>
        </w:tc>
        <w:tc>
          <w:tcPr>
            <w:tcW w:w="772" w:type="dxa"/>
            <w:tcBorders>
              <w:top w:val="nil"/>
            </w:tcBorders>
            <w:shd w:val="clear" w:color="auto" w:fill="FFFFFF" w:themeFill="background1"/>
            <w:noWrap/>
            <w:hideMark/>
          </w:tcPr>
          <w:p w14:paraId="79A2A4E1"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2,1</w:t>
            </w:r>
          </w:p>
        </w:tc>
        <w:tc>
          <w:tcPr>
            <w:tcW w:w="880" w:type="dxa"/>
            <w:tcBorders>
              <w:top w:val="nil"/>
            </w:tcBorders>
            <w:shd w:val="clear" w:color="auto" w:fill="FFFFFF" w:themeFill="background1"/>
            <w:noWrap/>
            <w:hideMark/>
          </w:tcPr>
          <w:p w14:paraId="6F9C5681"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1,5</w:t>
            </w:r>
          </w:p>
        </w:tc>
        <w:tc>
          <w:tcPr>
            <w:tcW w:w="880" w:type="dxa"/>
            <w:tcBorders>
              <w:top w:val="nil"/>
            </w:tcBorders>
            <w:shd w:val="clear" w:color="auto" w:fill="FFFFFF" w:themeFill="background1"/>
            <w:noWrap/>
            <w:hideMark/>
          </w:tcPr>
          <w:p w14:paraId="5BAF7BFC"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-8,3</w:t>
            </w:r>
          </w:p>
        </w:tc>
        <w:tc>
          <w:tcPr>
            <w:tcW w:w="880" w:type="dxa"/>
            <w:tcBorders>
              <w:top w:val="nil"/>
            </w:tcBorders>
            <w:shd w:val="clear" w:color="auto" w:fill="FFFFFF" w:themeFill="background1"/>
            <w:noWrap/>
            <w:hideMark/>
          </w:tcPr>
          <w:p w14:paraId="76346CC0"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5,8</w:t>
            </w:r>
          </w:p>
        </w:tc>
        <w:tc>
          <w:tcPr>
            <w:tcW w:w="880" w:type="dxa"/>
            <w:tcBorders>
              <w:top w:val="nil"/>
            </w:tcBorders>
            <w:shd w:val="clear" w:color="auto" w:fill="FFFFFF" w:themeFill="background1"/>
            <w:noWrap/>
            <w:hideMark/>
          </w:tcPr>
          <w:p w14:paraId="543D0BC4"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2,6</w:t>
            </w:r>
          </w:p>
        </w:tc>
        <w:tc>
          <w:tcPr>
            <w:tcW w:w="880" w:type="dxa"/>
            <w:tcBorders>
              <w:top w:val="nil"/>
            </w:tcBorders>
            <w:shd w:val="clear" w:color="auto" w:fill="FFFFFF" w:themeFill="background1"/>
            <w:noWrap/>
            <w:hideMark/>
          </w:tcPr>
          <w:p w14:paraId="44F94E85"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2,5</w:t>
            </w:r>
          </w:p>
        </w:tc>
      </w:tr>
      <w:tr w:rsidR="00E81A6E" w:rsidRPr="00E81A6E" w14:paraId="218F83D3"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hideMark/>
          </w:tcPr>
          <w:p w14:paraId="3D9AC3B6"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 xml:space="preserve">Валутен курс щ.д./евро </w:t>
            </w:r>
          </w:p>
        </w:tc>
        <w:tc>
          <w:tcPr>
            <w:tcW w:w="772" w:type="dxa"/>
            <w:shd w:val="clear" w:color="auto" w:fill="FFFFFF" w:themeFill="background1"/>
            <w:noWrap/>
            <w:hideMark/>
          </w:tcPr>
          <w:p w14:paraId="7552E8A4"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1,18</w:t>
            </w:r>
          </w:p>
        </w:tc>
        <w:tc>
          <w:tcPr>
            <w:tcW w:w="880" w:type="dxa"/>
            <w:shd w:val="clear" w:color="auto" w:fill="FFFFFF" w:themeFill="background1"/>
            <w:noWrap/>
            <w:hideMark/>
          </w:tcPr>
          <w:p w14:paraId="08B3DF61"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1,12</w:t>
            </w:r>
          </w:p>
        </w:tc>
        <w:tc>
          <w:tcPr>
            <w:tcW w:w="880" w:type="dxa"/>
            <w:shd w:val="clear" w:color="auto" w:fill="FFFFFF" w:themeFill="background1"/>
            <w:noWrap/>
            <w:hideMark/>
          </w:tcPr>
          <w:p w14:paraId="778D5331"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1,14</w:t>
            </w:r>
          </w:p>
        </w:tc>
        <w:tc>
          <w:tcPr>
            <w:tcW w:w="880" w:type="dxa"/>
            <w:shd w:val="clear" w:color="auto" w:fill="FFFFFF" w:themeFill="background1"/>
            <w:noWrap/>
            <w:hideMark/>
          </w:tcPr>
          <w:p w14:paraId="03BD7F88"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1,18</w:t>
            </w:r>
          </w:p>
        </w:tc>
        <w:tc>
          <w:tcPr>
            <w:tcW w:w="880" w:type="dxa"/>
            <w:shd w:val="clear" w:color="auto" w:fill="FFFFFF" w:themeFill="background1"/>
            <w:noWrap/>
            <w:hideMark/>
          </w:tcPr>
          <w:p w14:paraId="17D23A48"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1,18</w:t>
            </w:r>
          </w:p>
        </w:tc>
        <w:tc>
          <w:tcPr>
            <w:tcW w:w="880" w:type="dxa"/>
            <w:shd w:val="clear" w:color="auto" w:fill="FFFFFF" w:themeFill="background1"/>
            <w:noWrap/>
            <w:hideMark/>
          </w:tcPr>
          <w:p w14:paraId="7712A6A2"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1,18</w:t>
            </w:r>
          </w:p>
        </w:tc>
      </w:tr>
      <w:tr w:rsidR="00E81A6E" w:rsidRPr="00E81A6E" w14:paraId="1A9289A7"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hideMark/>
          </w:tcPr>
          <w:p w14:paraId="19C0E995"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Цена на петрол „Брент“ [щ.д./барел]</w:t>
            </w:r>
          </w:p>
        </w:tc>
        <w:tc>
          <w:tcPr>
            <w:tcW w:w="772" w:type="dxa"/>
            <w:shd w:val="clear" w:color="auto" w:fill="FFFFFF" w:themeFill="background1"/>
            <w:noWrap/>
            <w:hideMark/>
          </w:tcPr>
          <w:p w14:paraId="18CDA7E3"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71,1</w:t>
            </w:r>
          </w:p>
        </w:tc>
        <w:tc>
          <w:tcPr>
            <w:tcW w:w="880" w:type="dxa"/>
            <w:shd w:val="clear" w:color="auto" w:fill="FFFFFF" w:themeFill="background1"/>
            <w:noWrap/>
            <w:hideMark/>
          </w:tcPr>
          <w:p w14:paraId="24AE7021"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64,0</w:t>
            </w:r>
          </w:p>
        </w:tc>
        <w:tc>
          <w:tcPr>
            <w:tcW w:w="880" w:type="dxa"/>
            <w:shd w:val="clear" w:color="auto" w:fill="FFFFFF" w:themeFill="background1"/>
            <w:noWrap/>
            <w:hideMark/>
          </w:tcPr>
          <w:p w14:paraId="53107276"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36,5</w:t>
            </w:r>
          </w:p>
        </w:tc>
        <w:tc>
          <w:tcPr>
            <w:tcW w:w="880" w:type="dxa"/>
            <w:shd w:val="clear" w:color="auto" w:fill="FFFFFF" w:themeFill="background1"/>
            <w:noWrap/>
            <w:hideMark/>
          </w:tcPr>
          <w:p w14:paraId="3903F5DB"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43,8</w:t>
            </w:r>
          </w:p>
        </w:tc>
        <w:tc>
          <w:tcPr>
            <w:tcW w:w="880" w:type="dxa"/>
            <w:shd w:val="clear" w:color="auto" w:fill="FFFFFF" w:themeFill="background1"/>
            <w:noWrap/>
            <w:hideMark/>
          </w:tcPr>
          <w:p w14:paraId="67FB95FE"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46,4</w:t>
            </w:r>
          </w:p>
        </w:tc>
        <w:tc>
          <w:tcPr>
            <w:tcW w:w="880" w:type="dxa"/>
            <w:shd w:val="clear" w:color="auto" w:fill="FFFFFF" w:themeFill="background1"/>
            <w:noWrap/>
            <w:hideMark/>
          </w:tcPr>
          <w:p w14:paraId="39B61D65"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49,1</w:t>
            </w:r>
          </w:p>
        </w:tc>
      </w:tr>
      <w:tr w:rsidR="00E81A6E" w:rsidRPr="00E81A6E" w14:paraId="5B477452"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hideMark/>
          </w:tcPr>
          <w:p w14:paraId="02B79CF8"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Цена на неенергийни суровини [в щ.д., %]</w:t>
            </w:r>
          </w:p>
        </w:tc>
        <w:tc>
          <w:tcPr>
            <w:tcW w:w="772" w:type="dxa"/>
            <w:shd w:val="clear" w:color="auto" w:fill="FFFFFF" w:themeFill="background1"/>
            <w:noWrap/>
            <w:hideMark/>
          </w:tcPr>
          <w:p w14:paraId="590D8CA4"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1,7</w:t>
            </w:r>
          </w:p>
        </w:tc>
        <w:tc>
          <w:tcPr>
            <w:tcW w:w="880" w:type="dxa"/>
            <w:shd w:val="clear" w:color="auto" w:fill="FFFFFF" w:themeFill="background1"/>
            <w:noWrap/>
            <w:hideMark/>
          </w:tcPr>
          <w:p w14:paraId="77D95268"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-4,2</w:t>
            </w:r>
          </w:p>
        </w:tc>
        <w:tc>
          <w:tcPr>
            <w:tcW w:w="880" w:type="dxa"/>
            <w:shd w:val="clear" w:color="auto" w:fill="FFFFFF" w:themeFill="background1"/>
            <w:noWrap/>
            <w:hideMark/>
          </w:tcPr>
          <w:p w14:paraId="673B6706"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-5,1</w:t>
            </w:r>
          </w:p>
        </w:tc>
        <w:tc>
          <w:tcPr>
            <w:tcW w:w="880" w:type="dxa"/>
            <w:shd w:val="clear" w:color="auto" w:fill="FFFFFF" w:themeFill="background1"/>
            <w:noWrap/>
            <w:hideMark/>
          </w:tcPr>
          <w:p w14:paraId="6CEC4C22"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2,5</w:t>
            </w:r>
          </w:p>
        </w:tc>
        <w:tc>
          <w:tcPr>
            <w:tcW w:w="880" w:type="dxa"/>
            <w:shd w:val="clear" w:color="auto" w:fill="FFFFFF" w:themeFill="background1"/>
            <w:noWrap/>
            <w:hideMark/>
          </w:tcPr>
          <w:p w14:paraId="4031B754"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2,1</w:t>
            </w:r>
          </w:p>
        </w:tc>
        <w:tc>
          <w:tcPr>
            <w:tcW w:w="880" w:type="dxa"/>
            <w:shd w:val="clear" w:color="auto" w:fill="FFFFFF" w:themeFill="background1"/>
            <w:noWrap/>
            <w:hideMark/>
          </w:tcPr>
          <w:p w14:paraId="4E52D879" w14:textId="77777777" w:rsidR="00F01B5D" w:rsidRPr="00E81A6E" w:rsidRDefault="00F01B5D" w:rsidP="00CF286C">
            <w:pPr>
              <w:spacing w:after="0"/>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2,1</w:t>
            </w:r>
          </w:p>
        </w:tc>
      </w:tr>
      <w:tr w:rsidR="00E81A6E" w:rsidRPr="00E81A6E" w14:paraId="4025004E"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936" w:type="dxa"/>
            <w:tcBorders>
              <w:bottom w:val="single" w:sz="4" w:space="0" w:color="auto"/>
            </w:tcBorders>
            <w:shd w:val="clear" w:color="auto" w:fill="FFFFFF" w:themeFill="background1"/>
            <w:noWrap/>
            <w:hideMark/>
          </w:tcPr>
          <w:p w14:paraId="5F4649E0" w14:textId="77777777" w:rsidR="00F01B5D" w:rsidRPr="00E81A6E" w:rsidRDefault="00F01B5D" w:rsidP="00CF286C">
            <w:pPr>
              <w:spacing w:after="0"/>
              <w:rPr>
                <w:rFonts w:ascii="Times New Roman" w:eastAsia="Times New Roman" w:hAnsi="Times New Roman" w:cs="Times New Roman"/>
                <w:bCs w:val="0"/>
                <w:color w:val="auto"/>
                <w:sz w:val="20"/>
                <w:szCs w:val="20"/>
                <w:lang w:eastAsia="en-GB"/>
              </w:rPr>
            </w:pPr>
            <w:r w:rsidRPr="00E81A6E">
              <w:rPr>
                <w:rFonts w:ascii="Times New Roman" w:eastAsia="Times New Roman" w:hAnsi="Times New Roman" w:cs="Times New Roman"/>
                <w:b w:val="0"/>
                <w:bCs w:val="0"/>
                <w:color w:val="auto"/>
                <w:sz w:val="20"/>
                <w:szCs w:val="20"/>
                <w:lang w:eastAsia="en-GB"/>
              </w:rPr>
              <w:t>EURIBOR 3м. [%]</w:t>
            </w:r>
          </w:p>
        </w:tc>
        <w:tc>
          <w:tcPr>
            <w:tcW w:w="772" w:type="dxa"/>
            <w:tcBorders>
              <w:bottom w:val="single" w:sz="4" w:space="0" w:color="auto"/>
            </w:tcBorders>
            <w:shd w:val="clear" w:color="auto" w:fill="FFFFFF" w:themeFill="background1"/>
            <w:noWrap/>
            <w:hideMark/>
          </w:tcPr>
          <w:p w14:paraId="268CF948"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-0,3</w:t>
            </w:r>
          </w:p>
        </w:tc>
        <w:tc>
          <w:tcPr>
            <w:tcW w:w="880" w:type="dxa"/>
            <w:tcBorders>
              <w:bottom w:val="single" w:sz="4" w:space="0" w:color="auto"/>
            </w:tcBorders>
            <w:shd w:val="clear" w:color="auto" w:fill="FFFFFF" w:themeFill="background1"/>
            <w:noWrap/>
            <w:hideMark/>
          </w:tcPr>
          <w:p w14:paraId="09441002"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-0,4</w:t>
            </w:r>
          </w:p>
        </w:tc>
        <w:tc>
          <w:tcPr>
            <w:tcW w:w="880" w:type="dxa"/>
            <w:tcBorders>
              <w:bottom w:val="single" w:sz="4" w:space="0" w:color="auto"/>
            </w:tcBorders>
            <w:shd w:val="clear" w:color="auto" w:fill="FFFFFF" w:themeFill="background1"/>
            <w:noWrap/>
            <w:hideMark/>
          </w:tcPr>
          <w:p w14:paraId="1326CFD5"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-0,4</w:t>
            </w:r>
          </w:p>
        </w:tc>
        <w:tc>
          <w:tcPr>
            <w:tcW w:w="880" w:type="dxa"/>
            <w:tcBorders>
              <w:bottom w:val="single" w:sz="4" w:space="0" w:color="auto"/>
            </w:tcBorders>
            <w:shd w:val="clear" w:color="auto" w:fill="FFFFFF" w:themeFill="background1"/>
            <w:noWrap/>
            <w:hideMark/>
          </w:tcPr>
          <w:p w14:paraId="52FFCD35"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-0,5</w:t>
            </w:r>
          </w:p>
        </w:tc>
        <w:tc>
          <w:tcPr>
            <w:tcW w:w="880" w:type="dxa"/>
            <w:tcBorders>
              <w:bottom w:val="single" w:sz="4" w:space="0" w:color="auto"/>
            </w:tcBorders>
            <w:shd w:val="clear" w:color="auto" w:fill="FFFFFF" w:themeFill="background1"/>
            <w:noWrap/>
            <w:hideMark/>
          </w:tcPr>
          <w:p w14:paraId="3A705840"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en-GB"/>
              </w:rPr>
            </w:pPr>
            <w:r w:rsidRPr="00E81A6E">
              <w:rPr>
                <w:rFonts w:ascii="Times New Roman" w:eastAsia="Times New Roman" w:hAnsi="Times New Roman" w:cs="Times New Roman"/>
                <w:color w:val="auto"/>
                <w:sz w:val="20"/>
                <w:szCs w:val="20"/>
                <w:lang w:eastAsia="en-GB"/>
              </w:rPr>
              <w:t>-0,5</w:t>
            </w:r>
          </w:p>
        </w:tc>
        <w:tc>
          <w:tcPr>
            <w:tcW w:w="880" w:type="dxa"/>
            <w:tcBorders>
              <w:bottom w:val="single" w:sz="4" w:space="0" w:color="auto"/>
            </w:tcBorders>
            <w:shd w:val="clear" w:color="auto" w:fill="FFFFFF" w:themeFill="background1"/>
            <w:noWrap/>
            <w:hideMark/>
          </w:tcPr>
          <w:p w14:paraId="02F65B9B" w14:textId="77777777" w:rsidR="00F01B5D" w:rsidRPr="00E81A6E" w:rsidRDefault="00F01B5D" w:rsidP="00CF286C">
            <w:pPr>
              <w:spacing w:after="0"/>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pacing w:val="5"/>
                <w:kern w:val="28"/>
                <w:sz w:val="20"/>
                <w:szCs w:val="20"/>
                <w:lang w:eastAsia="en-GB"/>
              </w:rPr>
            </w:pPr>
            <w:r w:rsidRPr="00E81A6E">
              <w:rPr>
                <w:rFonts w:ascii="Times New Roman" w:eastAsia="Times New Roman" w:hAnsi="Times New Roman" w:cs="Times New Roman"/>
                <w:color w:val="auto"/>
                <w:sz w:val="20"/>
                <w:szCs w:val="20"/>
                <w:lang w:eastAsia="en-GB"/>
              </w:rPr>
              <w:t>-0,5</w:t>
            </w:r>
          </w:p>
        </w:tc>
      </w:tr>
    </w:tbl>
    <w:p w14:paraId="6689969D" w14:textId="77777777" w:rsidR="00E46A9F" w:rsidRPr="00E81A6E" w:rsidRDefault="00E46A9F" w:rsidP="00F01B5D">
      <w:pPr>
        <w:spacing w:after="0" w:line="240" w:lineRule="auto"/>
        <w:ind w:left="5040" w:firstLine="720"/>
        <w:contextualSpacing/>
        <w:jc w:val="center"/>
        <w:rPr>
          <w:rFonts w:ascii="Times New Roman" w:hAnsi="Times New Roman" w:cs="Times New Roman"/>
          <w:sz w:val="20"/>
          <w:szCs w:val="24"/>
        </w:rPr>
      </w:pPr>
      <w:r w:rsidRPr="00E81A6E">
        <w:rPr>
          <w:rFonts w:ascii="Times New Roman" w:hAnsi="Times New Roman" w:cs="Times New Roman"/>
          <w:sz w:val="20"/>
          <w:szCs w:val="24"/>
        </w:rPr>
        <w:t>Източник: МВФ, СБ, ЕЦБ, МФ</w:t>
      </w:r>
    </w:p>
    <w:p w14:paraId="4763F38E" w14:textId="77777777" w:rsidR="00F01B5D" w:rsidRPr="00E81A6E" w:rsidRDefault="00F01B5D" w:rsidP="00F55B06">
      <w:pPr>
        <w:spacing w:after="0" w:line="240" w:lineRule="auto"/>
        <w:ind w:firstLine="720"/>
        <w:contextualSpacing/>
        <w:jc w:val="both"/>
        <w:rPr>
          <w:rFonts w:ascii="Times New Roman" w:hAnsi="Times New Roman" w:cs="Times New Roman"/>
          <w:sz w:val="24"/>
          <w:szCs w:val="24"/>
          <w:lang w:val="bg-BG" w:eastAsia="en-US"/>
        </w:rPr>
      </w:pPr>
    </w:p>
    <w:p w14:paraId="6083655A"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lastRenderedPageBreak/>
        <w:t xml:space="preserve">Прогнозата за курса BGN/USD се основава на наличието на фиксиран курс на лева към единната европейска валута и техническо допускане за разменния курс на еврото към щатския долар. </w:t>
      </w:r>
      <w:r w:rsidR="00E1663F" w:rsidRPr="00E81A6E">
        <w:rPr>
          <w:rFonts w:ascii="Times New Roman" w:hAnsi="Times New Roman" w:cs="Times New Roman"/>
          <w:sz w:val="24"/>
          <w:szCs w:val="24"/>
          <w:lang w:val="bg-BG" w:eastAsia="en-US"/>
        </w:rPr>
        <w:t>С</w:t>
      </w:r>
      <w:r w:rsidRPr="00E81A6E">
        <w:rPr>
          <w:rFonts w:ascii="Times New Roman" w:hAnsi="Times New Roman" w:cs="Times New Roman"/>
          <w:sz w:val="24"/>
          <w:szCs w:val="24"/>
          <w:lang w:val="bg-BG" w:eastAsia="en-US"/>
        </w:rPr>
        <w:t xml:space="preserve">редногодишният валутен курс на еврото през 2021 г. </w:t>
      </w:r>
      <w:r w:rsidR="00F17CBF" w:rsidRPr="00E81A6E">
        <w:rPr>
          <w:rFonts w:ascii="Times New Roman" w:hAnsi="Times New Roman" w:cs="Times New Roman"/>
          <w:sz w:val="24"/>
          <w:szCs w:val="24"/>
          <w:lang w:val="bg-BG" w:eastAsia="en-US"/>
        </w:rPr>
        <w:t xml:space="preserve">се очаква да бъде </w:t>
      </w:r>
      <w:r w:rsidRPr="00E81A6E">
        <w:rPr>
          <w:rFonts w:ascii="Times New Roman" w:hAnsi="Times New Roman" w:cs="Times New Roman"/>
          <w:sz w:val="24"/>
          <w:szCs w:val="24"/>
          <w:lang w:val="bg-BG" w:eastAsia="en-US"/>
        </w:rPr>
        <w:t>1,18 долара и да се запази на същото равнище до края на прогнозния период. Като процентна промяна числото за 2020 г. показва номинално поскъпване на еврото с 2,3%, а през следващата година - с 3,4%.</w:t>
      </w:r>
    </w:p>
    <w:p w14:paraId="2BD41493" w14:textId="77777777" w:rsidR="0003390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В прогнозата допусканията за развитието на европейската и световната икономика представляват оценки на Министерството на финансите, базирани на прогнози и анализи на Европейската комисия, Световната банка, МВФ и рейтингова агенция Fitch.</w:t>
      </w:r>
    </w:p>
    <w:p w14:paraId="02260DF1"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08F1956B" w14:textId="77777777" w:rsidR="00033906" w:rsidRPr="00E81A6E" w:rsidRDefault="0003390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ПРЕГЛЕД НА РАЗВИТИЕТО НА НАЦИОНАЛНАТА ИКОНОМИКА</w:t>
      </w:r>
    </w:p>
    <w:p w14:paraId="36FDEC8F" w14:textId="77777777" w:rsidR="00E46A9F" w:rsidRPr="00E81A6E" w:rsidRDefault="00E46A9F" w:rsidP="00F55B06">
      <w:pPr>
        <w:pStyle w:val="Heading2"/>
        <w:numPr>
          <w:ilvl w:val="1"/>
          <w:numId w:val="0"/>
        </w:numPr>
        <w:tabs>
          <w:tab w:val="left" w:pos="426"/>
        </w:tabs>
        <w:spacing w:before="0"/>
        <w:ind w:firstLine="720"/>
        <w:contextualSpacing/>
        <w:rPr>
          <w:rFonts w:ascii="Times New Roman" w:hAnsi="Times New Roman" w:cs="Times New Roman"/>
          <w:color w:val="auto"/>
          <w:sz w:val="24"/>
          <w:szCs w:val="24"/>
        </w:rPr>
      </w:pPr>
      <w:bookmarkStart w:id="10" w:name="_Toc54860797"/>
      <w:bookmarkStart w:id="11" w:name="_Toc61971761"/>
      <w:r w:rsidRPr="00E81A6E">
        <w:rPr>
          <w:rFonts w:ascii="Times New Roman" w:hAnsi="Times New Roman" w:cs="Times New Roman"/>
          <w:color w:val="auto"/>
          <w:sz w:val="24"/>
          <w:szCs w:val="24"/>
        </w:rPr>
        <w:t>МАКРОИКОНОМИЧЕСКА ПРОГНОЗА ЗА ПЕРИОДА 2020-2023 г.</w:t>
      </w:r>
      <w:bookmarkEnd w:id="10"/>
      <w:bookmarkEnd w:id="11"/>
    </w:p>
    <w:p w14:paraId="46690DBF" w14:textId="77777777" w:rsidR="00E46A9F" w:rsidRPr="00E81A6E" w:rsidRDefault="00E46A9F" w:rsidP="00F55B06">
      <w:pPr>
        <w:pStyle w:val="Caption"/>
        <w:spacing w:after="0"/>
        <w:ind w:firstLine="720"/>
        <w:contextualSpacing/>
        <w:rPr>
          <w:rFonts w:ascii="Times New Roman" w:hAnsi="Times New Roman" w:cs="Times New Roman"/>
          <w:color w:val="auto"/>
          <w:sz w:val="24"/>
          <w:szCs w:val="24"/>
          <w:lang w:eastAsia="en-US"/>
        </w:rPr>
      </w:pPr>
      <w:bookmarkStart w:id="12" w:name="_Toc54860839"/>
      <w:bookmarkStart w:id="13" w:name="_Toc53751519"/>
      <w:bookmarkStart w:id="14" w:name="_Toc464737630"/>
      <w:bookmarkStart w:id="15" w:name="_Toc464646349"/>
      <w:bookmarkStart w:id="16" w:name="_Toc464644956"/>
      <w:r w:rsidRPr="00E81A6E">
        <w:rPr>
          <w:rFonts w:ascii="Times New Roman" w:hAnsi="Times New Roman" w:cs="Times New Roman"/>
          <w:color w:val="auto"/>
          <w:sz w:val="24"/>
          <w:szCs w:val="24"/>
          <w:lang w:eastAsia="en-US"/>
        </w:rPr>
        <w:t>Основни макроикономически показатели</w:t>
      </w:r>
      <w:bookmarkEnd w:id="12"/>
    </w:p>
    <w:tbl>
      <w:tblPr>
        <w:tblStyle w:val="LightShading-Accent61"/>
        <w:tblW w:w="5000" w:type="pct"/>
        <w:tblInd w:w="0" w:type="dxa"/>
        <w:shd w:val="clear" w:color="auto" w:fill="FFFFFF" w:themeFill="background1"/>
        <w:tblLayout w:type="fixed"/>
        <w:tblLook w:val="04A0" w:firstRow="1" w:lastRow="0" w:firstColumn="1" w:lastColumn="0" w:noHBand="0" w:noVBand="1"/>
      </w:tblPr>
      <w:tblGrid>
        <w:gridCol w:w="4113"/>
        <w:gridCol w:w="864"/>
        <w:gridCol w:w="864"/>
        <w:gridCol w:w="920"/>
        <w:gridCol w:w="935"/>
        <w:gridCol w:w="974"/>
        <w:gridCol w:w="970"/>
      </w:tblGrid>
      <w:tr w:rsidR="00E81A6E" w:rsidRPr="00E81A6E" w14:paraId="31947C14" w14:textId="77777777" w:rsidTr="00CF286C">
        <w:trPr>
          <w:cnfStyle w:val="100000000000" w:firstRow="1" w:lastRow="0" w:firstColumn="0" w:lastColumn="0" w:oddVBand="0" w:evenVBand="0" w:oddHBand="0" w:evenHBand="0" w:firstRowFirstColumn="0" w:firstRowLastColumn="0" w:lastRowFirstColumn="0" w:lastRowLastColumn="0"/>
          <w:trHeight w:val="824"/>
          <w:tblHeader/>
        </w:trPr>
        <w:tc>
          <w:tcPr>
            <w:cnfStyle w:val="001000000000" w:firstRow="0" w:lastRow="0" w:firstColumn="1" w:lastColumn="0" w:oddVBand="0" w:evenVBand="0" w:oddHBand="0" w:evenHBand="0" w:firstRowFirstColumn="0" w:firstRowLastColumn="0" w:lastRowFirstColumn="0" w:lastRowLastColumn="0"/>
            <w:tcW w:w="2134" w:type="pct"/>
            <w:tcBorders>
              <w:top w:val="single" w:sz="4" w:space="0" w:color="auto"/>
              <w:bottom w:val="single" w:sz="4" w:space="0" w:color="auto"/>
            </w:tcBorders>
            <w:shd w:val="clear" w:color="auto" w:fill="FFFFFF" w:themeFill="background1"/>
            <w:noWrap/>
            <w:hideMark/>
          </w:tcPr>
          <w:p w14:paraId="474120D8" w14:textId="77777777" w:rsidR="00F01B5D" w:rsidRPr="00E81A6E" w:rsidRDefault="00F01B5D" w:rsidP="00CF286C">
            <w:pPr>
              <w:jc w:val="center"/>
              <w:rPr>
                <w:rFonts w:ascii="Times New Roman" w:eastAsia="Times New Roman" w:hAnsi="Times New Roman" w:cs="Times New Roman"/>
                <w:color w:val="auto"/>
                <w:sz w:val="18"/>
                <w:szCs w:val="18"/>
                <w:lang w:val="bg-BG"/>
              </w:rPr>
            </w:pPr>
          </w:p>
          <w:p w14:paraId="2895CABF" w14:textId="77777777" w:rsidR="00F01B5D" w:rsidRPr="00E81A6E" w:rsidRDefault="00F01B5D" w:rsidP="00CF286C">
            <w:pPr>
              <w:jc w:val="center"/>
              <w:rPr>
                <w:rFonts w:ascii="Times New Roman" w:eastAsia="Times New Roman" w:hAnsi="Times New Roman" w:cs="Times New Roman"/>
                <w:color w:val="auto"/>
                <w:sz w:val="18"/>
                <w:szCs w:val="18"/>
                <w:lang w:val="bg-BG"/>
              </w:rPr>
            </w:pPr>
            <w:r w:rsidRPr="00E81A6E">
              <w:rPr>
                <w:rFonts w:ascii="Times New Roman" w:eastAsia="Times New Roman" w:hAnsi="Times New Roman" w:cs="Times New Roman"/>
                <w:color w:val="auto"/>
                <w:sz w:val="18"/>
                <w:szCs w:val="18"/>
                <w:lang w:val="bg-BG"/>
              </w:rPr>
              <w:t>Основни макроикономически</w:t>
            </w:r>
          </w:p>
          <w:p w14:paraId="158FD7C8" w14:textId="77777777" w:rsidR="00F01B5D" w:rsidRPr="00E81A6E" w:rsidRDefault="00F01B5D" w:rsidP="00CF286C">
            <w:pPr>
              <w:jc w:val="center"/>
              <w:rPr>
                <w:rFonts w:ascii="Times New Roman" w:eastAsia="Times New Roman" w:hAnsi="Times New Roman" w:cs="Times New Roman"/>
                <w:color w:val="auto"/>
                <w:sz w:val="18"/>
                <w:szCs w:val="18"/>
                <w:lang w:val="bg-BG"/>
              </w:rPr>
            </w:pPr>
            <w:r w:rsidRPr="00E81A6E">
              <w:rPr>
                <w:rFonts w:ascii="Times New Roman" w:eastAsia="Times New Roman" w:hAnsi="Times New Roman" w:cs="Times New Roman"/>
                <w:color w:val="auto"/>
                <w:sz w:val="18"/>
                <w:szCs w:val="18"/>
                <w:lang w:val="bg-BG"/>
              </w:rPr>
              <w:t>показатели</w:t>
            </w:r>
          </w:p>
        </w:tc>
        <w:tc>
          <w:tcPr>
            <w:tcW w:w="896" w:type="pct"/>
            <w:gridSpan w:val="2"/>
            <w:tcBorders>
              <w:top w:val="single" w:sz="4" w:space="0" w:color="auto"/>
              <w:bottom w:val="single" w:sz="4" w:space="0" w:color="auto"/>
            </w:tcBorders>
            <w:shd w:val="clear" w:color="auto" w:fill="FFFFFF" w:themeFill="background1"/>
            <w:noWrap/>
            <w:vAlign w:val="center"/>
            <w:hideMark/>
          </w:tcPr>
          <w:p w14:paraId="4A55D7B1"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bg-BG"/>
              </w:rPr>
            </w:pPr>
          </w:p>
          <w:p w14:paraId="5A407871"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bg-BG"/>
              </w:rPr>
            </w:pPr>
            <w:r w:rsidRPr="00E81A6E">
              <w:rPr>
                <w:rFonts w:ascii="Times New Roman" w:eastAsia="Times New Roman" w:hAnsi="Times New Roman" w:cs="Times New Roman"/>
                <w:color w:val="auto"/>
                <w:sz w:val="18"/>
                <w:szCs w:val="18"/>
                <w:lang w:val="bg-BG"/>
              </w:rPr>
              <w:t>Отчетни данни</w:t>
            </w:r>
          </w:p>
          <w:p w14:paraId="76596A67"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bg-BG"/>
              </w:rPr>
            </w:pPr>
          </w:p>
        </w:tc>
        <w:tc>
          <w:tcPr>
            <w:tcW w:w="1970" w:type="pct"/>
            <w:gridSpan w:val="4"/>
            <w:tcBorders>
              <w:top w:val="single" w:sz="4" w:space="0" w:color="auto"/>
              <w:bottom w:val="single" w:sz="4" w:space="0" w:color="auto"/>
            </w:tcBorders>
            <w:shd w:val="clear" w:color="auto" w:fill="FFFFFF" w:themeFill="background1"/>
            <w:noWrap/>
            <w:vAlign w:val="center"/>
            <w:hideMark/>
          </w:tcPr>
          <w:p w14:paraId="5F53EC13" w14:textId="77777777" w:rsidR="00F01B5D" w:rsidRPr="00E81A6E" w:rsidRDefault="00F01B5D" w:rsidP="00CF28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bg-BG"/>
              </w:rPr>
            </w:pPr>
            <w:r w:rsidRPr="00E81A6E">
              <w:rPr>
                <w:rFonts w:ascii="Times New Roman" w:eastAsia="Times New Roman" w:hAnsi="Times New Roman" w:cs="Times New Roman"/>
                <w:color w:val="auto"/>
                <w:sz w:val="18"/>
                <w:szCs w:val="18"/>
                <w:lang w:val="bg-BG"/>
              </w:rPr>
              <w:t>Прогноза</w:t>
            </w:r>
          </w:p>
        </w:tc>
      </w:tr>
      <w:tr w:rsidR="00E81A6E" w:rsidRPr="00E81A6E" w14:paraId="4C7A81EE" w14:textId="77777777" w:rsidTr="00CF28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4" w:type="pct"/>
            <w:tcBorders>
              <w:top w:val="single" w:sz="4" w:space="0" w:color="auto"/>
              <w:bottom w:val="nil"/>
            </w:tcBorders>
            <w:shd w:val="clear" w:color="auto" w:fill="FFFFFF" w:themeFill="background1"/>
            <w:hideMark/>
          </w:tcPr>
          <w:p w14:paraId="2868E9AD" w14:textId="77777777" w:rsidR="00F01B5D" w:rsidRPr="00E81A6E" w:rsidRDefault="00F01B5D" w:rsidP="00CF286C">
            <w:pPr>
              <w:spacing w:after="0"/>
              <w:rPr>
                <w:rFonts w:asciiTheme="majorHAnsi" w:eastAsia="Times New Roman" w:hAnsiTheme="majorHAnsi" w:cstheme="majorHAnsi"/>
                <w:color w:val="auto"/>
                <w:sz w:val="18"/>
                <w:szCs w:val="18"/>
                <w:lang w:val="bg-BG"/>
              </w:rPr>
            </w:pPr>
          </w:p>
        </w:tc>
        <w:tc>
          <w:tcPr>
            <w:tcW w:w="448" w:type="pct"/>
            <w:tcBorders>
              <w:top w:val="single" w:sz="4" w:space="0" w:color="auto"/>
              <w:bottom w:val="nil"/>
            </w:tcBorders>
            <w:shd w:val="clear" w:color="auto" w:fill="FFFFFF" w:themeFill="background1"/>
            <w:noWrap/>
            <w:vAlign w:val="center"/>
            <w:hideMark/>
          </w:tcPr>
          <w:p w14:paraId="5BD96697"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2018</w:t>
            </w:r>
          </w:p>
        </w:tc>
        <w:tc>
          <w:tcPr>
            <w:tcW w:w="448" w:type="pct"/>
            <w:tcBorders>
              <w:top w:val="single" w:sz="4" w:space="0" w:color="auto"/>
              <w:bottom w:val="nil"/>
            </w:tcBorders>
            <w:shd w:val="clear" w:color="auto" w:fill="FFFFFF" w:themeFill="background1"/>
            <w:noWrap/>
            <w:vAlign w:val="center"/>
            <w:hideMark/>
          </w:tcPr>
          <w:p w14:paraId="3E419967"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2019</w:t>
            </w:r>
          </w:p>
        </w:tc>
        <w:tc>
          <w:tcPr>
            <w:tcW w:w="477" w:type="pct"/>
            <w:tcBorders>
              <w:top w:val="single" w:sz="4" w:space="0" w:color="auto"/>
              <w:bottom w:val="nil"/>
            </w:tcBorders>
            <w:shd w:val="clear" w:color="auto" w:fill="F2F2F2" w:themeFill="background1" w:themeFillShade="F2"/>
            <w:noWrap/>
            <w:vAlign w:val="center"/>
            <w:hideMark/>
          </w:tcPr>
          <w:p w14:paraId="75A6E97E"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2020</w:t>
            </w:r>
          </w:p>
        </w:tc>
        <w:tc>
          <w:tcPr>
            <w:tcW w:w="485" w:type="pct"/>
            <w:tcBorders>
              <w:top w:val="single" w:sz="4" w:space="0" w:color="auto"/>
              <w:bottom w:val="nil"/>
            </w:tcBorders>
            <w:shd w:val="clear" w:color="auto" w:fill="F2F2F2" w:themeFill="background1" w:themeFillShade="F2"/>
            <w:noWrap/>
            <w:vAlign w:val="center"/>
            <w:hideMark/>
          </w:tcPr>
          <w:p w14:paraId="1F588840"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2021</w:t>
            </w:r>
          </w:p>
        </w:tc>
        <w:tc>
          <w:tcPr>
            <w:tcW w:w="505" w:type="pct"/>
            <w:tcBorders>
              <w:top w:val="single" w:sz="4" w:space="0" w:color="auto"/>
              <w:bottom w:val="nil"/>
            </w:tcBorders>
            <w:shd w:val="clear" w:color="auto" w:fill="F2F2F2" w:themeFill="background1" w:themeFillShade="F2"/>
            <w:noWrap/>
            <w:vAlign w:val="center"/>
            <w:hideMark/>
          </w:tcPr>
          <w:p w14:paraId="226FD44C"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2022</w:t>
            </w:r>
          </w:p>
        </w:tc>
        <w:tc>
          <w:tcPr>
            <w:tcW w:w="504" w:type="pct"/>
            <w:tcBorders>
              <w:top w:val="single" w:sz="4" w:space="0" w:color="auto"/>
              <w:bottom w:val="nil"/>
            </w:tcBorders>
            <w:shd w:val="clear" w:color="auto" w:fill="F2F2F2" w:themeFill="background1" w:themeFillShade="F2"/>
            <w:noWrap/>
            <w:vAlign w:val="center"/>
            <w:hideMark/>
          </w:tcPr>
          <w:p w14:paraId="3730214E"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auto"/>
                <w:sz w:val="18"/>
                <w:szCs w:val="18"/>
                <w:lang w:val="bg-BG"/>
              </w:rPr>
            </w:pPr>
            <w:r w:rsidRPr="00E81A6E">
              <w:rPr>
                <w:rFonts w:asciiTheme="majorHAnsi" w:eastAsia="Times New Roman" w:hAnsiTheme="majorHAnsi" w:cstheme="majorHAnsi"/>
                <w:b/>
                <w:bCs/>
                <w:color w:val="auto"/>
                <w:sz w:val="18"/>
                <w:szCs w:val="18"/>
                <w:lang w:val="bg-BG"/>
              </w:rPr>
              <w:t>2023</w:t>
            </w:r>
          </w:p>
        </w:tc>
      </w:tr>
      <w:tr w:rsidR="00E81A6E" w:rsidRPr="00E81A6E" w14:paraId="6C26F3DB"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FFFFFF" w:themeFill="background1"/>
            <w:noWrap/>
            <w:hideMark/>
          </w:tcPr>
          <w:p w14:paraId="12D76413" w14:textId="77777777" w:rsidR="00F01B5D" w:rsidRPr="00E81A6E" w:rsidRDefault="00F01B5D" w:rsidP="00CF286C">
            <w:pPr>
              <w:spacing w:after="0"/>
              <w:rPr>
                <w:rFonts w:ascii="Times New Roman" w:eastAsia="Times New Roman" w:hAnsi="Times New Roman" w:cs="Times New Roman"/>
                <w:b w:val="0"/>
                <w:bCs w:val="0"/>
                <w:color w:val="auto"/>
                <w:sz w:val="18"/>
                <w:szCs w:val="18"/>
                <w:lang w:val="bg-BG"/>
              </w:rPr>
            </w:pPr>
            <w:r w:rsidRPr="00E81A6E">
              <w:rPr>
                <w:rFonts w:ascii="Times New Roman" w:eastAsia="Times New Roman" w:hAnsi="Times New Roman" w:cs="Times New Roman"/>
                <w:b w:val="0"/>
                <w:bCs w:val="0"/>
                <w:color w:val="auto"/>
                <w:sz w:val="18"/>
                <w:szCs w:val="18"/>
                <w:lang w:val="bg-BG"/>
              </w:rPr>
              <w:t>БРУТЕН ВЪТРЕШЕН ПРОДУКТ</w:t>
            </w:r>
          </w:p>
        </w:tc>
      </w:tr>
      <w:tr w:rsidR="00E81A6E" w:rsidRPr="00E81A6E" w14:paraId="350B9D2C"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2D661949"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БВП [млн. лв.]</w:t>
            </w:r>
          </w:p>
        </w:tc>
        <w:tc>
          <w:tcPr>
            <w:tcW w:w="448" w:type="pct"/>
            <w:shd w:val="clear" w:color="auto" w:fill="FFFFFF" w:themeFill="background1"/>
            <w:noWrap/>
            <w:hideMark/>
          </w:tcPr>
          <w:p w14:paraId="40E4E1C2"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109 743</w:t>
            </w:r>
          </w:p>
        </w:tc>
        <w:tc>
          <w:tcPr>
            <w:tcW w:w="448" w:type="pct"/>
            <w:shd w:val="clear" w:color="auto" w:fill="FFFFFF" w:themeFill="background1"/>
            <w:noWrap/>
            <w:hideMark/>
          </w:tcPr>
          <w:p w14:paraId="27B599F5"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119 772</w:t>
            </w:r>
          </w:p>
        </w:tc>
        <w:tc>
          <w:tcPr>
            <w:tcW w:w="477" w:type="pct"/>
            <w:tcBorders>
              <w:top w:val="nil"/>
              <w:bottom w:val="nil"/>
            </w:tcBorders>
            <w:shd w:val="clear" w:color="auto" w:fill="F2F2F2" w:themeFill="background1" w:themeFillShade="F2"/>
            <w:noWrap/>
            <w:hideMark/>
          </w:tcPr>
          <w:p w14:paraId="7CE0149B"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119 089</w:t>
            </w:r>
          </w:p>
        </w:tc>
        <w:tc>
          <w:tcPr>
            <w:tcW w:w="485" w:type="pct"/>
            <w:tcBorders>
              <w:top w:val="nil"/>
              <w:bottom w:val="nil"/>
            </w:tcBorders>
            <w:shd w:val="clear" w:color="auto" w:fill="F2F2F2" w:themeFill="background1" w:themeFillShade="F2"/>
            <w:noWrap/>
            <w:hideMark/>
          </w:tcPr>
          <w:p w14:paraId="3B837EE3"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124 540</w:t>
            </w:r>
          </w:p>
        </w:tc>
        <w:tc>
          <w:tcPr>
            <w:tcW w:w="505" w:type="pct"/>
            <w:tcBorders>
              <w:top w:val="nil"/>
              <w:bottom w:val="nil"/>
            </w:tcBorders>
            <w:shd w:val="clear" w:color="auto" w:fill="F2F2F2" w:themeFill="background1" w:themeFillShade="F2"/>
            <w:noWrap/>
            <w:hideMark/>
          </w:tcPr>
          <w:p w14:paraId="3EA7989E"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130 876</w:t>
            </w:r>
          </w:p>
        </w:tc>
        <w:tc>
          <w:tcPr>
            <w:tcW w:w="504" w:type="pct"/>
            <w:tcBorders>
              <w:top w:val="nil"/>
              <w:bottom w:val="nil"/>
            </w:tcBorders>
            <w:shd w:val="clear" w:color="auto" w:fill="F2F2F2" w:themeFill="background1" w:themeFillShade="F2"/>
            <w:noWrap/>
            <w:hideMark/>
          </w:tcPr>
          <w:p w14:paraId="3E96AA2F" w14:textId="77777777" w:rsidR="00F01B5D" w:rsidRPr="00E81A6E" w:rsidRDefault="00F01B5D" w:rsidP="00CF286C">
            <w:pPr>
              <w:spacing w:after="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137 701</w:t>
            </w:r>
          </w:p>
        </w:tc>
      </w:tr>
      <w:tr w:rsidR="00E81A6E" w:rsidRPr="00E81A6E" w14:paraId="1D617BE0"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1999817F"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БВП [реален растеж %]</w:t>
            </w:r>
          </w:p>
        </w:tc>
        <w:tc>
          <w:tcPr>
            <w:tcW w:w="448" w:type="pct"/>
            <w:shd w:val="clear" w:color="auto" w:fill="FFFFFF" w:themeFill="background1"/>
            <w:noWrap/>
            <w:hideMark/>
          </w:tcPr>
          <w:p w14:paraId="310996D1"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3,1</w:t>
            </w:r>
          </w:p>
        </w:tc>
        <w:tc>
          <w:tcPr>
            <w:tcW w:w="448" w:type="pct"/>
            <w:shd w:val="clear" w:color="auto" w:fill="FFFFFF" w:themeFill="background1"/>
            <w:noWrap/>
            <w:hideMark/>
          </w:tcPr>
          <w:p w14:paraId="57EB93CF"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3,7</w:t>
            </w:r>
          </w:p>
        </w:tc>
        <w:tc>
          <w:tcPr>
            <w:tcW w:w="477" w:type="pct"/>
            <w:tcBorders>
              <w:top w:val="nil"/>
              <w:bottom w:val="nil"/>
            </w:tcBorders>
            <w:shd w:val="clear" w:color="auto" w:fill="F2F2F2" w:themeFill="background1" w:themeFillShade="F2"/>
            <w:noWrap/>
            <w:hideMark/>
          </w:tcPr>
          <w:p w14:paraId="03925BC5"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-3,0</w:t>
            </w:r>
          </w:p>
        </w:tc>
        <w:tc>
          <w:tcPr>
            <w:tcW w:w="485" w:type="pct"/>
            <w:tcBorders>
              <w:top w:val="nil"/>
              <w:bottom w:val="nil"/>
            </w:tcBorders>
            <w:shd w:val="clear" w:color="auto" w:fill="F2F2F2" w:themeFill="background1" w:themeFillShade="F2"/>
            <w:noWrap/>
            <w:hideMark/>
          </w:tcPr>
          <w:p w14:paraId="20D759CD"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2,5</w:t>
            </w:r>
          </w:p>
        </w:tc>
        <w:tc>
          <w:tcPr>
            <w:tcW w:w="505" w:type="pct"/>
            <w:tcBorders>
              <w:top w:val="nil"/>
              <w:bottom w:val="nil"/>
            </w:tcBorders>
            <w:shd w:val="clear" w:color="auto" w:fill="F2F2F2" w:themeFill="background1" w:themeFillShade="F2"/>
            <w:noWrap/>
            <w:hideMark/>
          </w:tcPr>
          <w:p w14:paraId="009CE106"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3,0</w:t>
            </w:r>
          </w:p>
        </w:tc>
        <w:tc>
          <w:tcPr>
            <w:tcW w:w="504" w:type="pct"/>
            <w:tcBorders>
              <w:top w:val="nil"/>
              <w:bottom w:val="nil"/>
            </w:tcBorders>
            <w:shd w:val="clear" w:color="auto" w:fill="F2F2F2" w:themeFill="background1" w:themeFillShade="F2"/>
            <w:noWrap/>
            <w:hideMark/>
          </w:tcPr>
          <w:p w14:paraId="1D71449A"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3,2</w:t>
            </w:r>
          </w:p>
        </w:tc>
      </w:tr>
      <w:tr w:rsidR="00E81A6E" w:rsidRPr="00E81A6E" w14:paraId="79DC0B36"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3FD9FAA2"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 xml:space="preserve">    Потребление</w:t>
            </w:r>
          </w:p>
        </w:tc>
        <w:tc>
          <w:tcPr>
            <w:tcW w:w="448" w:type="pct"/>
            <w:shd w:val="clear" w:color="auto" w:fill="FFFFFF" w:themeFill="background1"/>
            <w:noWrap/>
            <w:hideMark/>
          </w:tcPr>
          <w:p w14:paraId="2870E82A"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4,6</w:t>
            </w:r>
          </w:p>
        </w:tc>
        <w:tc>
          <w:tcPr>
            <w:tcW w:w="448" w:type="pct"/>
            <w:shd w:val="clear" w:color="auto" w:fill="FFFFFF" w:themeFill="background1"/>
            <w:noWrap/>
            <w:hideMark/>
          </w:tcPr>
          <w:p w14:paraId="0E87642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4,7</w:t>
            </w:r>
          </w:p>
        </w:tc>
        <w:tc>
          <w:tcPr>
            <w:tcW w:w="477" w:type="pct"/>
            <w:tcBorders>
              <w:top w:val="nil"/>
              <w:bottom w:val="nil"/>
            </w:tcBorders>
            <w:shd w:val="clear" w:color="auto" w:fill="F2F2F2" w:themeFill="background1" w:themeFillShade="F2"/>
            <w:noWrap/>
            <w:hideMark/>
          </w:tcPr>
          <w:p w14:paraId="7B1B1924"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w:t>
            </w:r>
          </w:p>
        </w:tc>
        <w:tc>
          <w:tcPr>
            <w:tcW w:w="485" w:type="pct"/>
            <w:tcBorders>
              <w:top w:val="nil"/>
              <w:bottom w:val="nil"/>
            </w:tcBorders>
            <w:shd w:val="clear" w:color="auto" w:fill="F2F2F2" w:themeFill="background1" w:themeFillShade="F2"/>
            <w:noWrap/>
            <w:hideMark/>
          </w:tcPr>
          <w:p w14:paraId="59A07183"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2,5</w:t>
            </w:r>
          </w:p>
        </w:tc>
        <w:tc>
          <w:tcPr>
            <w:tcW w:w="505" w:type="pct"/>
            <w:tcBorders>
              <w:top w:val="nil"/>
              <w:bottom w:val="nil"/>
            </w:tcBorders>
            <w:shd w:val="clear" w:color="auto" w:fill="F2F2F2" w:themeFill="background1" w:themeFillShade="F2"/>
            <w:noWrap/>
            <w:hideMark/>
          </w:tcPr>
          <w:p w14:paraId="7B2F9D1B"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2,3</w:t>
            </w:r>
          </w:p>
        </w:tc>
        <w:tc>
          <w:tcPr>
            <w:tcW w:w="504" w:type="pct"/>
            <w:tcBorders>
              <w:top w:val="nil"/>
              <w:bottom w:val="nil"/>
            </w:tcBorders>
            <w:shd w:val="clear" w:color="auto" w:fill="F2F2F2" w:themeFill="background1" w:themeFillShade="F2"/>
            <w:noWrap/>
            <w:hideMark/>
          </w:tcPr>
          <w:p w14:paraId="6CAB11F0"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2,9</w:t>
            </w:r>
          </w:p>
        </w:tc>
      </w:tr>
      <w:tr w:rsidR="00E81A6E" w:rsidRPr="00E81A6E" w14:paraId="62792886"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hideMark/>
          </w:tcPr>
          <w:p w14:paraId="09A70D88"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 xml:space="preserve">    Брутообразуване на основен капитал</w:t>
            </w:r>
          </w:p>
        </w:tc>
        <w:tc>
          <w:tcPr>
            <w:tcW w:w="448" w:type="pct"/>
            <w:shd w:val="clear" w:color="auto" w:fill="FFFFFF" w:themeFill="background1"/>
            <w:noWrap/>
            <w:hideMark/>
          </w:tcPr>
          <w:p w14:paraId="68BED81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5,4</w:t>
            </w:r>
          </w:p>
        </w:tc>
        <w:tc>
          <w:tcPr>
            <w:tcW w:w="448" w:type="pct"/>
            <w:shd w:val="clear" w:color="auto" w:fill="FFFFFF" w:themeFill="background1"/>
            <w:noWrap/>
            <w:hideMark/>
          </w:tcPr>
          <w:p w14:paraId="7C74172F"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4,5</w:t>
            </w:r>
          </w:p>
        </w:tc>
        <w:tc>
          <w:tcPr>
            <w:tcW w:w="477" w:type="pct"/>
            <w:tcBorders>
              <w:top w:val="nil"/>
              <w:bottom w:val="nil"/>
            </w:tcBorders>
            <w:shd w:val="clear" w:color="auto" w:fill="F2F2F2" w:themeFill="background1" w:themeFillShade="F2"/>
            <w:noWrap/>
            <w:hideMark/>
          </w:tcPr>
          <w:p w14:paraId="0CAA4E7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-10,5</w:t>
            </w:r>
          </w:p>
        </w:tc>
        <w:tc>
          <w:tcPr>
            <w:tcW w:w="485" w:type="pct"/>
            <w:tcBorders>
              <w:top w:val="nil"/>
              <w:bottom w:val="nil"/>
            </w:tcBorders>
            <w:shd w:val="clear" w:color="auto" w:fill="F2F2F2" w:themeFill="background1" w:themeFillShade="F2"/>
            <w:noWrap/>
            <w:hideMark/>
          </w:tcPr>
          <w:p w14:paraId="7C906CA9"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-5,4</w:t>
            </w:r>
          </w:p>
        </w:tc>
        <w:tc>
          <w:tcPr>
            <w:tcW w:w="505" w:type="pct"/>
            <w:tcBorders>
              <w:top w:val="nil"/>
              <w:bottom w:val="nil"/>
            </w:tcBorders>
            <w:shd w:val="clear" w:color="auto" w:fill="F2F2F2" w:themeFill="background1" w:themeFillShade="F2"/>
            <w:noWrap/>
            <w:hideMark/>
          </w:tcPr>
          <w:p w14:paraId="4BA59C4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3,0</w:t>
            </w:r>
          </w:p>
        </w:tc>
        <w:tc>
          <w:tcPr>
            <w:tcW w:w="504" w:type="pct"/>
            <w:tcBorders>
              <w:top w:val="nil"/>
              <w:bottom w:val="nil"/>
            </w:tcBorders>
            <w:shd w:val="clear" w:color="auto" w:fill="F2F2F2" w:themeFill="background1" w:themeFillShade="F2"/>
            <w:noWrap/>
            <w:hideMark/>
          </w:tcPr>
          <w:p w14:paraId="2B687C66"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8,8</w:t>
            </w:r>
          </w:p>
        </w:tc>
      </w:tr>
      <w:tr w:rsidR="00E81A6E" w:rsidRPr="00E81A6E" w14:paraId="14381080"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5D1483DB"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 xml:space="preserve">    Износ на стоки и услуги</w:t>
            </w:r>
          </w:p>
        </w:tc>
        <w:tc>
          <w:tcPr>
            <w:tcW w:w="448" w:type="pct"/>
            <w:shd w:val="clear" w:color="auto" w:fill="FFFFFF" w:themeFill="background1"/>
            <w:noWrap/>
            <w:hideMark/>
          </w:tcPr>
          <w:p w14:paraId="771346F7"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1,7</w:t>
            </w:r>
          </w:p>
        </w:tc>
        <w:tc>
          <w:tcPr>
            <w:tcW w:w="448" w:type="pct"/>
            <w:shd w:val="clear" w:color="auto" w:fill="FFFFFF" w:themeFill="background1"/>
            <w:noWrap/>
            <w:hideMark/>
          </w:tcPr>
          <w:p w14:paraId="39966CD7"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3,9</w:t>
            </w:r>
          </w:p>
        </w:tc>
        <w:tc>
          <w:tcPr>
            <w:tcW w:w="477" w:type="pct"/>
            <w:tcBorders>
              <w:top w:val="nil"/>
              <w:bottom w:val="nil"/>
            </w:tcBorders>
            <w:shd w:val="clear" w:color="auto" w:fill="F2F2F2" w:themeFill="background1" w:themeFillShade="F2"/>
            <w:noWrap/>
            <w:hideMark/>
          </w:tcPr>
          <w:p w14:paraId="5ADA385D"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-10,2</w:t>
            </w:r>
          </w:p>
        </w:tc>
        <w:tc>
          <w:tcPr>
            <w:tcW w:w="485" w:type="pct"/>
            <w:tcBorders>
              <w:top w:val="nil"/>
              <w:bottom w:val="nil"/>
            </w:tcBorders>
            <w:shd w:val="clear" w:color="auto" w:fill="F2F2F2" w:themeFill="background1" w:themeFillShade="F2"/>
            <w:noWrap/>
            <w:hideMark/>
          </w:tcPr>
          <w:p w14:paraId="00B133D6"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7,2</w:t>
            </w:r>
          </w:p>
        </w:tc>
        <w:tc>
          <w:tcPr>
            <w:tcW w:w="505" w:type="pct"/>
            <w:tcBorders>
              <w:top w:val="nil"/>
              <w:bottom w:val="nil"/>
            </w:tcBorders>
            <w:shd w:val="clear" w:color="auto" w:fill="F2F2F2" w:themeFill="background1" w:themeFillShade="F2"/>
            <w:noWrap/>
            <w:hideMark/>
          </w:tcPr>
          <w:p w14:paraId="291E495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7,1</w:t>
            </w:r>
          </w:p>
        </w:tc>
        <w:tc>
          <w:tcPr>
            <w:tcW w:w="504" w:type="pct"/>
            <w:tcBorders>
              <w:top w:val="nil"/>
              <w:bottom w:val="nil"/>
            </w:tcBorders>
            <w:shd w:val="clear" w:color="auto" w:fill="F2F2F2" w:themeFill="background1" w:themeFillShade="F2"/>
            <w:noWrap/>
            <w:hideMark/>
          </w:tcPr>
          <w:p w14:paraId="09F196E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5,3</w:t>
            </w:r>
          </w:p>
        </w:tc>
      </w:tr>
      <w:tr w:rsidR="00E81A6E" w:rsidRPr="00E81A6E" w14:paraId="33F16AFE"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45DDCD23"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 xml:space="preserve">    Внос на стоки и услуги</w:t>
            </w:r>
          </w:p>
        </w:tc>
        <w:tc>
          <w:tcPr>
            <w:tcW w:w="448" w:type="pct"/>
            <w:shd w:val="clear" w:color="auto" w:fill="FFFFFF" w:themeFill="background1"/>
            <w:noWrap/>
            <w:hideMark/>
          </w:tcPr>
          <w:p w14:paraId="6913969C"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5,7</w:t>
            </w:r>
          </w:p>
        </w:tc>
        <w:tc>
          <w:tcPr>
            <w:tcW w:w="448" w:type="pct"/>
            <w:shd w:val="clear" w:color="auto" w:fill="FFFFFF" w:themeFill="background1"/>
            <w:noWrap/>
            <w:hideMark/>
          </w:tcPr>
          <w:p w14:paraId="2F85CD91"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5,2</w:t>
            </w:r>
          </w:p>
        </w:tc>
        <w:tc>
          <w:tcPr>
            <w:tcW w:w="477" w:type="pct"/>
            <w:tcBorders>
              <w:top w:val="nil"/>
              <w:bottom w:val="nil"/>
            </w:tcBorders>
            <w:shd w:val="clear" w:color="auto" w:fill="F2F2F2" w:themeFill="background1" w:themeFillShade="F2"/>
            <w:noWrap/>
            <w:hideMark/>
          </w:tcPr>
          <w:p w14:paraId="3B2C06EC"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-10,4</w:t>
            </w:r>
          </w:p>
        </w:tc>
        <w:tc>
          <w:tcPr>
            <w:tcW w:w="485" w:type="pct"/>
            <w:tcBorders>
              <w:top w:val="nil"/>
              <w:bottom w:val="nil"/>
            </w:tcBorders>
            <w:shd w:val="clear" w:color="auto" w:fill="F2F2F2" w:themeFill="background1" w:themeFillShade="F2"/>
            <w:noWrap/>
            <w:hideMark/>
          </w:tcPr>
          <w:p w14:paraId="23125E0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5,0</w:t>
            </w:r>
          </w:p>
        </w:tc>
        <w:tc>
          <w:tcPr>
            <w:tcW w:w="505" w:type="pct"/>
            <w:tcBorders>
              <w:top w:val="nil"/>
              <w:bottom w:val="nil"/>
            </w:tcBorders>
            <w:shd w:val="clear" w:color="auto" w:fill="F2F2F2" w:themeFill="background1" w:themeFillShade="F2"/>
            <w:noWrap/>
            <w:hideMark/>
          </w:tcPr>
          <w:p w14:paraId="12AD372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6,4</w:t>
            </w:r>
          </w:p>
        </w:tc>
        <w:tc>
          <w:tcPr>
            <w:tcW w:w="504" w:type="pct"/>
            <w:tcBorders>
              <w:top w:val="nil"/>
              <w:bottom w:val="nil"/>
            </w:tcBorders>
            <w:shd w:val="clear" w:color="auto" w:fill="F2F2F2" w:themeFill="background1" w:themeFillShade="F2"/>
            <w:noWrap/>
            <w:hideMark/>
          </w:tcPr>
          <w:p w14:paraId="1A290D56"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6,7</w:t>
            </w:r>
          </w:p>
        </w:tc>
      </w:tr>
      <w:tr w:rsidR="00E81A6E" w:rsidRPr="00E81A6E" w14:paraId="248D8C8C"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FFF" w:themeFill="background1"/>
            <w:noWrap/>
            <w:hideMark/>
          </w:tcPr>
          <w:p w14:paraId="4FA26871" w14:textId="77777777" w:rsidR="00F01B5D" w:rsidRPr="00E81A6E" w:rsidRDefault="00F01B5D" w:rsidP="00CF286C">
            <w:pPr>
              <w:spacing w:after="0"/>
              <w:rPr>
                <w:rFonts w:ascii="Times New Roman" w:eastAsia="Times New Roman" w:hAnsi="Times New Roman" w:cs="Times New Roman"/>
                <w:b w:val="0"/>
                <w:bCs w:val="0"/>
                <w:color w:val="auto"/>
                <w:sz w:val="18"/>
                <w:szCs w:val="18"/>
                <w:lang w:val="bg-BG"/>
              </w:rPr>
            </w:pPr>
            <w:r w:rsidRPr="00E81A6E">
              <w:rPr>
                <w:rFonts w:ascii="Times New Roman" w:eastAsia="Times New Roman" w:hAnsi="Times New Roman" w:cs="Times New Roman"/>
                <w:b w:val="0"/>
                <w:bCs w:val="0"/>
                <w:color w:val="auto"/>
                <w:sz w:val="18"/>
                <w:szCs w:val="18"/>
                <w:lang w:val="bg-BG"/>
              </w:rPr>
              <w:t>ПАЗАР НА ТРУДА И ЦЕНИ</w:t>
            </w:r>
          </w:p>
        </w:tc>
      </w:tr>
      <w:tr w:rsidR="00E81A6E" w:rsidRPr="00E81A6E" w14:paraId="11FC2FFA"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65559400"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Заетост (СНС) [%]</w:t>
            </w:r>
          </w:p>
        </w:tc>
        <w:tc>
          <w:tcPr>
            <w:tcW w:w="448" w:type="pct"/>
            <w:shd w:val="clear" w:color="auto" w:fill="FFFFFF" w:themeFill="background1"/>
            <w:noWrap/>
            <w:hideMark/>
          </w:tcPr>
          <w:p w14:paraId="1F1BA63C"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-0,1</w:t>
            </w:r>
          </w:p>
        </w:tc>
        <w:tc>
          <w:tcPr>
            <w:tcW w:w="448" w:type="pct"/>
            <w:shd w:val="clear" w:color="auto" w:fill="FFFFFF" w:themeFill="background1"/>
            <w:noWrap/>
            <w:hideMark/>
          </w:tcPr>
          <w:p w14:paraId="02C5044C"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0,3</w:t>
            </w:r>
          </w:p>
        </w:tc>
        <w:tc>
          <w:tcPr>
            <w:tcW w:w="477" w:type="pct"/>
            <w:tcBorders>
              <w:top w:val="nil"/>
              <w:bottom w:val="nil"/>
            </w:tcBorders>
            <w:shd w:val="clear" w:color="auto" w:fill="F2F2F2" w:themeFill="background1" w:themeFillShade="F2"/>
            <w:noWrap/>
            <w:hideMark/>
          </w:tcPr>
          <w:p w14:paraId="5B42896F"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-2,6</w:t>
            </w:r>
          </w:p>
        </w:tc>
        <w:tc>
          <w:tcPr>
            <w:tcW w:w="485" w:type="pct"/>
            <w:tcBorders>
              <w:top w:val="nil"/>
              <w:bottom w:val="nil"/>
            </w:tcBorders>
            <w:shd w:val="clear" w:color="auto" w:fill="F2F2F2" w:themeFill="background1" w:themeFillShade="F2"/>
            <w:noWrap/>
            <w:hideMark/>
          </w:tcPr>
          <w:p w14:paraId="229F5F83"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0,9</w:t>
            </w:r>
          </w:p>
        </w:tc>
        <w:tc>
          <w:tcPr>
            <w:tcW w:w="505" w:type="pct"/>
            <w:tcBorders>
              <w:top w:val="nil"/>
              <w:bottom w:val="nil"/>
            </w:tcBorders>
            <w:shd w:val="clear" w:color="auto" w:fill="F2F2F2" w:themeFill="background1" w:themeFillShade="F2"/>
            <w:noWrap/>
            <w:hideMark/>
          </w:tcPr>
          <w:p w14:paraId="571FFC8E"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1,5</w:t>
            </w:r>
          </w:p>
        </w:tc>
        <w:tc>
          <w:tcPr>
            <w:tcW w:w="504" w:type="pct"/>
            <w:tcBorders>
              <w:top w:val="nil"/>
              <w:bottom w:val="nil"/>
            </w:tcBorders>
            <w:shd w:val="clear" w:color="auto" w:fill="F2F2F2" w:themeFill="background1" w:themeFillShade="F2"/>
            <w:noWrap/>
            <w:hideMark/>
          </w:tcPr>
          <w:p w14:paraId="0128B6DF"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0,4</w:t>
            </w:r>
          </w:p>
        </w:tc>
      </w:tr>
      <w:tr w:rsidR="00E81A6E" w:rsidRPr="00E81A6E" w14:paraId="26D30232"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12C94EAF"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Коефициент на безработица (НРС) [%]</w:t>
            </w:r>
          </w:p>
        </w:tc>
        <w:tc>
          <w:tcPr>
            <w:tcW w:w="448" w:type="pct"/>
            <w:shd w:val="clear" w:color="auto" w:fill="FFFFFF" w:themeFill="background1"/>
            <w:noWrap/>
            <w:hideMark/>
          </w:tcPr>
          <w:p w14:paraId="4FDC4BC7"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5,2</w:t>
            </w:r>
          </w:p>
        </w:tc>
        <w:tc>
          <w:tcPr>
            <w:tcW w:w="448" w:type="pct"/>
            <w:shd w:val="clear" w:color="auto" w:fill="FFFFFF" w:themeFill="background1"/>
            <w:noWrap/>
            <w:hideMark/>
          </w:tcPr>
          <w:p w14:paraId="5153FC54"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4,2</w:t>
            </w:r>
          </w:p>
        </w:tc>
        <w:tc>
          <w:tcPr>
            <w:tcW w:w="477" w:type="pct"/>
            <w:tcBorders>
              <w:top w:val="nil"/>
              <w:bottom w:val="nil"/>
            </w:tcBorders>
            <w:shd w:val="clear" w:color="auto" w:fill="F2F2F2" w:themeFill="background1" w:themeFillShade="F2"/>
            <w:noWrap/>
            <w:hideMark/>
          </w:tcPr>
          <w:p w14:paraId="1E03FB62"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5,6</w:t>
            </w:r>
          </w:p>
        </w:tc>
        <w:tc>
          <w:tcPr>
            <w:tcW w:w="485" w:type="pct"/>
            <w:tcBorders>
              <w:top w:val="nil"/>
              <w:bottom w:val="nil"/>
            </w:tcBorders>
            <w:shd w:val="clear" w:color="auto" w:fill="F2F2F2" w:themeFill="background1" w:themeFillShade="F2"/>
            <w:noWrap/>
            <w:hideMark/>
          </w:tcPr>
          <w:p w14:paraId="19CFA26A"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5,2</w:t>
            </w:r>
          </w:p>
        </w:tc>
        <w:tc>
          <w:tcPr>
            <w:tcW w:w="505" w:type="pct"/>
            <w:tcBorders>
              <w:top w:val="nil"/>
              <w:bottom w:val="nil"/>
            </w:tcBorders>
            <w:shd w:val="clear" w:color="auto" w:fill="F2F2F2" w:themeFill="background1" w:themeFillShade="F2"/>
            <w:noWrap/>
            <w:hideMark/>
          </w:tcPr>
          <w:p w14:paraId="4D967EBE"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4,6</w:t>
            </w:r>
          </w:p>
        </w:tc>
        <w:tc>
          <w:tcPr>
            <w:tcW w:w="504" w:type="pct"/>
            <w:tcBorders>
              <w:top w:val="nil"/>
              <w:bottom w:val="nil"/>
            </w:tcBorders>
            <w:shd w:val="clear" w:color="auto" w:fill="F2F2F2" w:themeFill="background1" w:themeFillShade="F2"/>
            <w:noWrap/>
            <w:hideMark/>
          </w:tcPr>
          <w:p w14:paraId="21892EBE"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4,6</w:t>
            </w:r>
          </w:p>
        </w:tc>
      </w:tr>
      <w:tr w:rsidR="00E81A6E" w:rsidRPr="00E81A6E" w14:paraId="4E5F8BD0"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08080379"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Компенсации на един нает [%]</w:t>
            </w:r>
          </w:p>
        </w:tc>
        <w:tc>
          <w:tcPr>
            <w:tcW w:w="448" w:type="pct"/>
            <w:shd w:val="clear" w:color="auto" w:fill="FFFFFF" w:themeFill="background1"/>
            <w:noWrap/>
            <w:hideMark/>
          </w:tcPr>
          <w:p w14:paraId="3679DB20"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9,7</w:t>
            </w:r>
          </w:p>
        </w:tc>
        <w:tc>
          <w:tcPr>
            <w:tcW w:w="448" w:type="pct"/>
            <w:shd w:val="clear" w:color="auto" w:fill="FFFFFF" w:themeFill="background1"/>
            <w:noWrap/>
            <w:hideMark/>
          </w:tcPr>
          <w:p w14:paraId="7BD82DDE"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6,9</w:t>
            </w:r>
          </w:p>
        </w:tc>
        <w:tc>
          <w:tcPr>
            <w:tcW w:w="477" w:type="pct"/>
            <w:tcBorders>
              <w:top w:val="nil"/>
              <w:bottom w:val="nil"/>
            </w:tcBorders>
            <w:shd w:val="clear" w:color="auto" w:fill="F2F2F2" w:themeFill="background1" w:themeFillShade="F2"/>
            <w:noWrap/>
            <w:hideMark/>
          </w:tcPr>
          <w:p w14:paraId="2F649649"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5,0</w:t>
            </w:r>
          </w:p>
        </w:tc>
        <w:tc>
          <w:tcPr>
            <w:tcW w:w="485" w:type="pct"/>
            <w:tcBorders>
              <w:top w:val="nil"/>
              <w:bottom w:val="nil"/>
            </w:tcBorders>
            <w:shd w:val="clear" w:color="auto" w:fill="F2F2F2" w:themeFill="background1" w:themeFillShade="F2"/>
            <w:noWrap/>
            <w:hideMark/>
          </w:tcPr>
          <w:p w14:paraId="40E6331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5,9</w:t>
            </w:r>
          </w:p>
        </w:tc>
        <w:tc>
          <w:tcPr>
            <w:tcW w:w="505" w:type="pct"/>
            <w:tcBorders>
              <w:top w:val="nil"/>
              <w:bottom w:val="nil"/>
            </w:tcBorders>
            <w:shd w:val="clear" w:color="auto" w:fill="F2F2F2" w:themeFill="background1" w:themeFillShade="F2"/>
            <w:noWrap/>
            <w:hideMark/>
          </w:tcPr>
          <w:p w14:paraId="5A4267D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6,5</w:t>
            </w:r>
          </w:p>
        </w:tc>
        <w:tc>
          <w:tcPr>
            <w:tcW w:w="504" w:type="pct"/>
            <w:tcBorders>
              <w:top w:val="nil"/>
              <w:bottom w:val="nil"/>
            </w:tcBorders>
            <w:shd w:val="clear" w:color="auto" w:fill="F2F2F2" w:themeFill="background1" w:themeFillShade="F2"/>
            <w:noWrap/>
            <w:hideMark/>
          </w:tcPr>
          <w:p w14:paraId="4095D029"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6,9</w:t>
            </w:r>
          </w:p>
        </w:tc>
      </w:tr>
      <w:tr w:rsidR="00E81A6E" w:rsidRPr="00E81A6E" w14:paraId="05C7268C"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42837903"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Дефлатор на БВП [%]</w:t>
            </w:r>
          </w:p>
        </w:tc>
        <w:tc>
          <w:tcPr>
            <w:tcW w:w="448" w:type="pct"/>
            <w:shd w:val="clear" w:color="auto" w:fill="FFFFFF" w:themeFill="background1"/>
            <w:noWrap/>
            <w:hideMark/>
          </w:tcPr>
          <w:p w14:paraId="48C648B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4,0</w:t>
            </w:r>
          </w:p>
        </w:tc>
        <w:tc>
          <w:tcPr>
            <w:tcW w:w="448" w:type="pct"/>
            <w:shd w:val="clear" w:color="auto" w:fill="FFFFFF" w:themeFill="background1"/>
            <w:noWrap/>
            <w:hideMark/>
          </w:tcPr>
          <w:p w14:paraId="79E1AD5C"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5,3</w:t>
            </w:r>
          </w:p>
        </w:tc>
        <w:tc>
          <w:tcPr>
            <w:tcW w:w="477" w:type="pct"/>
            <w:tcBorders>
              <w:top w:val="nil"/>
              <w:bottom w:val="nil"/>
            </w:tcBorders>
            <w:shd w:val="clear" w:color="auto" w:fill="F2F2F2" w:themeFill="background1" w:themeFillShade="F2"/>
            <w:noWrap/>
            <w:hideMark/>
          </w:tcPr>
          <w:p w14:paraId="61C4AACA"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2,5</w:t>
            </w:r>
          </w:p>
        </w:tc>
        <w:tc>
          <w:tcPr>
            <w:tcW w:w="485" w:type="pct"/>
            <w:tcBorders>
              <w:top w:val="nil"/>
              <w:bottom w:val="nil"/>
            </w:tcBorders>
            <w:shd w:val="clear" w:color="auto" w:fill="F2F2F2" w:themeFill="background1" w:themeFillShade="F2"/>
            <w:noWrap/>
            <w:hideMark/>
          </w:tcPr>
          <w:p w14:paraId="50D8F7B3"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2,0</w:t>
            </w:r>
          </w:p>
        </w:tc>
        <w:tc>
          <w:tcPr>
            <w:tcW w:w="505" w:type="pct"/>
            <w:tcBorders>
              <w:top w:val="nil"/>
              <w:bottom w:val="nil"/>
            </w:tcBorders>
            <w:shd w:val="clear" w:color="auto" w:fill="F2F2F2" w:themeFill="background1" w:themeFillShade="F2"/>
            <w:noWrap/>
            <w:hideMark/>
          </w:tcPr>
          <w:p w14:paraId="2EA37295"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2,0</w:t>
            </w:r>
          </w:p>
        </w:tc>
        <w:tc>
          <w:tcPr>
            <w:tcW w:w="504" w:type="pct"/>
            <w:tcBorders>
              <w:top w:val="nil"/>
              <w:bottom w:val="nil"/>
            </w:tcBorders>
            <w:shd w:val="clear" w:color="auto" w:fill="F2F2F2" w:themeFill="background1" w:themeFillShade="F2"/>
            <w:noWrap/>
            <w:hideMark/>
          </w:tcPr>
          <w:p w14:paraId="4F6F8ED3"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2,0</w:t>
            </w:r>
          </w:p>
        </w:tc>
      </w:tr>
      <w:tr w:rsidR="00E81A6E" w:rsidRPr="00E81A6E" w14:paraId="5CBF56C5"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hideMark/>
          </w:tcPr>
          <w:p w14:paraId="441E7FEF"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Средногодишна инфлация (ХИПЦ) [%]</w:t>
            </w:r>
          </w:p>
        </w:tc>
        <w:tc>
          <w:tcPr>
            <w:tcW w:w="448" w:type="pct"/>
            <w:shd w:val="clear" w:color="auto" w:fill="FFFFFF" w:themeFill="background1"/>
            <w:noWrap/>
            <w:hideMark/>
          </w:tcPr>
          <w:p w14:paraId="611EBAB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2,6</w:t>
            </w:r>
          </w:p>
        </w:tc>
        <w:tc>
          <w:tcPr>
            <w:tcW w:w="448" w:type="pct"/>
            <w:shd w:val="clear" w:color="auto" w:fill="FFFFFF" w:themeFill="background1"/>
            <w:noWrap/>
            <w:hideMark/>
          </w:tcPr>
          <w:p w14:paraId="72ED8525"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2,5</w:t>
            </w:r>
          </w:p>
        </w:tc>
        <w:tc>
          <w:tcPr>
            <w:tcW w:w="477" w:type="pct"/>
            <w:tcBorders>
              <w:top w:val="nil"/>
              <w:bottom w:val="nil"/>
            </w:tcBorders>
            <w:shd w:val="clear" w:color="auto" w:fill="F2F2F2" w:themeFill="background1" w:themeFillShade="F2"/>
            <w:noWrap/>
            <w:hideMark/>
          </w:tcPr>
          <w:p w14:paraId="1D19E30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1,4</w:t>
            </w:r>
          </w:p>
        </w:tc>
        <w:tc>
          <w:tcPr>
            <w:tcW w:w="485" w:type="pct"/>
            <w:tcBorders>
              <w:top w:val="nil"/>
              <w:bottom w:val="nil"/>
            </w:tcBorders>
            <w:shd w:val="clear" w:color="auto" w:fill="F2F2F2" w:themeFill="background1" w:themeFillShade="F2"/>
            <w:noWrap/>
            <w:hideMark/>
          </w:tcPr>
          <w:p w14:paraId="0526CCA0"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2,1</w:t>
            </w:r>
          </w:p>
        </w:tc>
        <w:tc>
          <w:tcPr>
            <w:tcW w:w="505" w:type="pct"/>
            <w:tcBorders>
              <w:top w:val="nil"/>
              <w:bottom w:val="nil"/>
            </w:tcBorders>
            <w:shd w:val="clear" w:color="auto" w:fill="F2F2F2" w:themeFill="background1" w:themeFillShade="F2"/>
            <w:noWrap/>
            <w:hideMark/>
          </w:tcPr>
          <w:p w14:paraId="3C84C42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2,6</w:t>
            </w:r>
          </w:p>
        </w:tc>
        <w:tc>
          <w:tcPr>
            <w:tcW w:w="504" w:type="pct"/>
            <w:tcBorders>
              <w:top w:val="nil"/>
              <w:bottom w:val="nil"/>
            </w:tcBorders>
            <w:shd w:val="clear" w:color="auto" w:fill="F2F2F2" w:themeFill="background1" w:themeFillShade="F2"/>
            <w:noWrap/>
            <w:hideMark/>
          </w:tcPr>
          <w:p w14:paraId="4C65140F"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2,5</w:t>
            </w:r>
          </w:p>
        </w:tc>
      </w:tr>
      <w:tr w:rsidR="00E81A6E" w:rsidRPr="00E81A6E" w14:paraId="023C717E"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FFF" w:themeFill="background1"/>
            <w:noWrap/>
            <w:hideMark/>
          </w:tcPr>
          <w:p w14:paraId="33709CCF" w14:textId="77777777" w:rsidR="00F01B5D" w:rsidRPr="00E81A6E" w:rsidRDefault="00F01B5D" w:rsidP="00CF286C">
            <w:pPr>
              <w:spacing w:after="0"/>
              <w:rPr>
                <w:rFonts w:ascii="Times New Roman" w:eastAsia="Times New Roman" w:hAnsi="Times New Roman" w:cs="Times New Roman"/>
                <w:b w:val="0"/>
                <w:bCs w:val="0"/>
                <w:color w:val="auto"/>
                <w:sz w:val="18"/>
                <w:szCs w:val="18"/>
                <w:lang w:val="bg-BG"/>
              </w:rPr>
            </w:pPr>
            <w:r w:rsidRPr="00E81A6E">
              <w:rPr>
                <w:rFonts w:ascii="Times New Roman" w:eastAsia="Times New Roman" w:hAnsi="Times New Roman" w:cs="Times New Roman"/>
                <w:b w:val="0"/>
                <w:bCs w:val="0"/>
                <w:color w:val="auto"/>
                <w:sz w:val="18"/>
                <w:szCs w:val="18"/>
                <w:lang w:val="bg-BG"/>
              </w:rPr>
              <w:t>ПЛАТЕЖЕН БАЛАНС</w:t>
            </w:r>
          </w:p>
        </w:tc>
      </w:tr>
      <w:tr w:rsidR="00E81A6E" w:rsidRPr="00E81A6E" w14:paraId="56CCC8EE"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63DA9C67"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Текуща сметка [% от БВП]</w:t>
            </w:r>
          </w:p>
        </w:tc>
        <w:tc>
          <w:tcPr>
            <w:tcW w:w="448" w:type="pct"/>
            <w:shd w:val="clear" w:color="auto" w:fill="FFFFFF" w:themeFill="background1"/>
            <w:noWrap/>
            <w:hideMark/>
          </w:tcPr>
          <w:p w14:paraId="54AF0D03"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1,0</w:t>
            </w:r>
          </w:p>
        </w:tc>
        <w:tc>
          <w:tcPr>
            <w:tcW w:w="448" w:type="pct"/>
            <w:shd w:val="clear" w:color="auto" w:fill="FFFFFF" w:themeFill="background1"/>
            <w:noWrap/>
            <w:hideMark/>
          </w:tcPr>
          <w:p w14:paraId="5A9304A7"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3,0</w:t>
            </w:r>
          </w:p>
        </w:tc>
        <w:tc>
          <w:tcPr>
            <w:tcW w:w="477" w:type="pct"/>
            <w:tcBorders>
              <w:top w:val="nil"/>
              <w:bottom w:val="nil"/>
            </w:tcBorders>
            <w:shd w:val="clear" w:color="auto" w:fill="F2F2F2" w:themeFill="background1" w:themeFillShade="F2"/>
            <w:noWrap/>
            <w:hideMark/>
          </w:tcPr>
          <w:p w14:paraId="55266F55"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3,1</w:t>
            </w:r>
          </w:p>
        </w:tc>
        <w:tc>
          <w:tcPr>
            <w:tcW w:w="485" w:type="pct"/>
            <w:tcBorders>
              <w:top w:val="nil"/>
              <w:bottom w:val="nil"/>
            </w:tcBorders>
            <w:shd w:val="clear" w:color="auto" w:fill="F2F2F2" w:themeFill="background1" w:themeFillShade="F2"/>
            <w:noWrap/>
            <w:hideMark/>
          </w:tcPr>
          <w:p w14:paraId="3E89E29A"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3,9</w:t>
            </w:r>
          </w:p>
        </w:tc>
        <w:tc>
          <w:tcPr>
            <w:tcW w:w="505" w:type="pct"/>
            <w:tcBorders>
              <w:top w:val="nil"/>
              <w:bottom w:val="nil"/>
            </w:tcBorders>
            <w:shd w:val="clear" w:color="auto" w:fill="F2F2F2" w:themeFill="background1" w:themeFillShade="F2"/>
            <w:noWrap/>
            <w:hideMark/>
          </w:tcPr>
          <w:p w14:paraId="4AC6F5CD"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4,2</w:t>
            </w:r>
          </w:p>
        </w:tc>
        <w:tc>
          <w:tcPr>
            <w:tcW w:w="504" w:type="pct"/>
            <w:tcBorders>
              <w:top w:val="nil"/>
              <w:bottom w:val="nil"/>
            </w:tcBorders>
            <w:shd w:val="clear" w:color="auto" w:fill="F2F2F2" w:themeFill="background1" w:themeFillShade="F2"/>
            <w:noWrap/>
            <w:hideMark/>
          </w:tcPr>
          <w:p w14:paraId="4DD09ABB"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3,4</w:t>
            </w:r>
          </w:p>
        </w:tc>
      </w:tr>
      <w:tr w:rsidR="00E81A6E" w:rsidRPr="00E81A6E" w14:paraId="02DDD5CF"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094539DE"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Търговски баланс [% от БВП]</w:t>
            </w:r>
          </w:p>
        </w:tc>
        <w:tc>
          <w:tcPr>
            <w:tcW w:w="448" w:type="pct"/>
            <w:shd w:val="clear" w:color="auto" w:fill="FFFFFF" w:themeFill="background1"/>
            <w:noWrap/>
            <w:hideMark/>
          </w:tcPr>
          <w:p w14:paraId="3FC9A03D"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-4,8</w:t>
            </w:r>
          </w:p>
        </w:tc>
        <w:tc>
          <w:tcPr>
            <w:tcW w:w="448" w:type="pct"/>
            <w:shd w:val="clear" w:color="auto" w:fill="FFFFFF" w:themeFill="background1"/>
            <w:noWrap/>
            <w:hideMark/>
          </w:tcPr>
          <w:p w14:paraId="35150C8B"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-4,7</w:t>
            </w:r>
          </w:p>
        </w:tc>
        <w:tc>
          <w:tcPr>
            <w:tcW w:w="477" w:type="pct"/>
            <w:tcBorders>
              <w:top w:val="nil"/>
              <w:bottom w:val="nil"/>
            </w:tcBorders>
            <w:shd w:val="clear" w:color="auto" w:fill="F2F2F2" w:themeFill="background1" w:themeFillShade="F2"/>
            <w:noWrap/>
            <w:hideMark/>
          </w:tcPr>
          <w:p w14:paraId="038EF5C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-1,7</w:t>
            </w:r>
          </w:p>
        </w:tc>
        <w:tc>
          <w:tcPr>
            <w:tcW w:w="485" w:type="pct"/>
            <w:tcBorders>
              <w:top w:val="nil"/>
              <w:bottom w:val="nil"/>
            </w:tcBorders>
            <w:shd w:val="clear" w:color="auto" w:fill="F2F2F2" w:themeFill="background1" w:themeFillShade="F2"/>
            <w:noWrap/>
            <w:hideMark/>
          </w:tcPr>
          <w:p w14:paraId="1E78BA5A"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-1,2</w:t>
            </w:r>
          </w:p>
        </w:tc>
        <w:tc>
          <w:tcPr>
            <w:tcW w:w="505" w:type="pct"/>
            <w:tcBorders>
              <w:top w:val="nil"/>
              <w:bottom w:val="nil"/>
            </w:tcBorders>
            <w:shd w:val="clear" w:color="auto" w:fill="F2F2F2" w:themeFill="background1" w:themeFillShade="F2"/>
            <w:noWrap/>
            <w:hideMark/>
          </w:tcPr>
          <w:p w14:paraId="1891D25C"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-1,3</w:t>
            </w:r>
          </w:p>
        </w:tc>
        <w:tc>
          <w:tcPr>
            <w:tcW w:w="504" w:type="pct"/>
            <w:tcBorders>
              <w:top w:val="nil"/>
              <w:bottom w:val="nil"/>
            </w:tcBorders>
            <w:shd w:val="clear" w:color="auto" w:fill="F2F2F2" w:themeFill="background1" w:themeFillShade="F2"/>
            <w:noWrap/>
            <w:hideMark/>
          </w:tcPr>
          <w:p w14:paraId="2D3FC7B9"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-2,1</w:t>
            </w:r>
          </w:p>
        </w:tc>
      </w:tr>
      <w:tr w:rsidR="00E81A6E" w:rsidRPr="00E81A6E" w14:paraId="6FD1087C" w14:textId="77777777" w:rsidTr="00CF286C">
        <w:trPr>
          <w:trHeight w:val="465"/>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hideMark/>
          </w:tcPr>
          <w:p w14:paraId="13601243"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Преки чуждестранни инвестиции [% от БВП]</w:t>
            </w:r>
          </w:p>
        </w:tc>
        <w:tc>
          <w:tcPr>
            <w:tcW w:w="448" w:type="pct"/>
            <w:shd w:val="clear" w:color="auto" w:fill="FFFFFF" w:themeFill="background1"/>
            <w:noWrap/>
            <w:hideMark/>
          </w:tcPr>
          <w:p w14:paraId="67A94053"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2,7</w:t>
            </w:r>
          </w:p>
        </w:tc>
        <w:tc>
          <w:tcPr>
            <w:tcW w:w="448" w:type="pct"/>
            <w:shd w:val="clear" w:color="auto" w:fill="FFFFFF" w:themeFill="background1"/>
            <w:noWrap/>
            <w:hideMark/>
          </w:tcPr>
          <w:p w14:paraId="63159288"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2,4</w:t>
            </w:r>
          </w:p>
        </w:tc>
        <w:tc>
          <w:tcPr>
            <w:tcW w:w="477" w:type="pct"/>
            <w:tcBorders>
              <w:top w:val="nil"/>
              <w:bottom w:val="nil"/>
            </w:tcBorders>
            <w:shd w:val="clear" w:color="auto" w:fill="F2F2F2" w:themeFill="background1" w:themeFillShade="F2"/>
            <w:noWrap/>
            <w:hideMark/>
          </w:tcPr>
          <w:p w14:paraId="4DA35834"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2,9</w:t>
            </w:r>
          </w:p>
        </w:tc>
        <w:tc>
          <w:tcPr>
            <w:tcW w:w="485" w:type="pct"/>
            <w:tcBorders>
              <w:top w:val="nil"/>
              <w:bottom w:val="nil"/>
            </w:tcBorders>
            <w:shd w:val="clear" w:color="auto" w:fill="F2F2F2" w:themeFill="background1" w:themeFillShade="F2"/>
            <w:noWrap/>
            <w:hideMark/>
          </w:tcPr>
          <w:p w14:paraId="0E7B92D8"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2,9</w:t>
            </w:r>
          </w:p>
        </w:tc>
        <w:tc>
          <w:tcPr>
            <w:tcW w:w="505" w:type="pct"/>
            <w:tcBorders>
              <w:top w:val="nil"/>
              <w:bottom w:val="nil"/>
            </w:tcBorders>
            <w:shd w:val="clear" w:color="auto" w:fill="F2F2F2" w:themeFill="background1" w:themeFillShade="F2"/>
            <w:noWrap/>
            <w:hideMark/>
          </w:tcPr>
          <w:p w14:paraId="35BD14AD"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2,9</w:t>
            </w:r>
          </w:p>
        </w:tc>
        <w:tc>
          <w:tcPr>
            <w:tcW w:w="504" w:type="pct"/>
            <w:tcBorders>
              <w:top w:val="nil"/>
              <w:bottom w:val="nil"/>
            </w:tcBorders>
            <w:shd w:val="clear" w:color="auto" w:fill="F2F2F2" w:themeFill="background1" w:themeFillShade="F2"/>
            <w:noWrap/>
            <w:hideMark/>
          </w:tcPr>
          <w:p w14:paraId="31CF112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2,9</w:t>
            </w:r>
          </w:p>
        </w:tc>
      </w:tr>
      <w:tr w:rsidR="00E81A6E" w:rsidRPr="00E81A6E" w14:paraId="3A44E28D"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FFF" w:themeFill="background1"/>
            <w:noWrap/>
            <w:hideMark/>
          </w:tcPr>
          <w:p w14:paraId="413F73A9" w14:textId="77777777" w:rsidR="00F01B5D" w:rsidRPr="00E81A6E" w:rsidRDefault="00F01B5D" w:rsidP="00CF286C">
            <w:pPr>
              <w:spacing w:after="0"/>
              <w:rPr>
                <w:rFonts w:ascii="Times New Roman" w:eastAsia="Times New Roman" w:hAnsi="Times New Roman" w:cs="Times New Roman"/>
                <w:b w:val="0"/>
                <w:bCs w:val="0"/>
                <w:color w:val="auto"/>
                <w:sz w:val="18"/>
                <w:szCs w:val="18"/>
                <w:lang w:val="bg-BG"/>
              </w:rPr>
            </w:pPr>
            <w:r w:rsidRPr="00E81A6E">
              <w:rPr>
                <w:rFonts w:ascii="Times New Roman" w:eastAsia="Times New Roman" w:hAnsi="Times New Roman" w:cs="Times New Roman"/>
                <w:b w:val="0"/>
                <w:bCs w:val="0"/>
                <w:color w:val="auto"/>
                <w:sz w:val="18"/>
                <w:szCs w:val="18"/>
                <w:lang w:val="bg-BG"/>
              </w:rPr>
              <w:t>ПАРИЧЕН СЕКТОР</w:t>
            </w:r>
          </w:p>
        </w:tc>
      </w:tr>
      <w:tr w:rsidR="00E81A6E" w:rsidRPr="00E81A6E" w14:paraId="411968C7"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shd w:val="clear" w:color="auto" w:fill="FFFFFF" w:themeFill="background1"/>
            <w:noWrap/>
            <w:hideMark/>
          </w:tcPr>
          <w:p w14:paraId="7FB411FC"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М3 [%]</w:t>
            </w:r>
          </w:p>
        </w:tc>
        <w:tc>
          <w:tcPr>
            <w:tcW w:w="448" w:type="pct"/>
            <w:shd w:val="clear" w:color="auto" w:fill="FFFFFF" w:themeFill="background1"/>
            <w:noWrap/>
            <w:hideMark/>
          </w:tcPr>
          <w:p w14:paraId="3A22FDCA"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8,8</w:t>
            </w:r>
          </w:p>
        </w:tc>
        <w:tc>
          <w:tcPr>
            <w:tcW w:w="448" w:type="pct"/>
            <w:shd w:val="clear" w:color="auto" w:fill="FFFFFF" w:themeFill="background1"/>
            <w:noWrap/>
            <w:hideMark/>
          </w:tcPr>
          <w:p w14:paraId="6B6EF0FE"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9,9</w:t>
            </w:r>
          </w:p>
        </w:tc>
        <w:tc>
          <w:tcPr>
            <w:tcW w:w="477" w:type="pct"/>
            <w:tcBorders>
              <w:top w:val="nil"/>
              <w:bottom w:val="nil"/>
            </w:tcBorders>
            <w:shd w:val="clear" w:color="auto" w:fill="F2F2F2" w:themeFill="background1" w:themeFillShade="F2"/>
            <w:noWrap/>
            <w:hideMark/>
          </w:tcPr>
          <w:p w14:paraId="1A202C79"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8,0</w:t>
            </w:r>
          </w:p>
        </w:tc>
        <w:tc>
          <w:tcPr>
            <w:tcW w:w="485" w:type="pct"/>
            <w:tcBorders>
              <w:top w:val="nil"/>
              <w:bottom w:val="nil"/>
            </w:tcBorders>
            <w:shd w:val="clear" w:color="auto" w:fill="F2F2F2" w:themeFill="background1" w:themeFillShade="F2"/>
            <w:noWrap/>
            <w:hideMark/>
          </w:tcPr>
          <w:p w14:paraId="5F56DC85"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8,1</w:t>
            </w:r>
          </w:p>
        </w:tc>
        <w:tc>
          <w:tcPr>
            <w:tcW w:w="505" w:type="pct"/>
            <w:tcBorders>
              <w:top w:val="nil"/>
              <w:bottom w:val="nil"/>
            </w:tcBorders>
            <w:shd w:val="clear" w:color="auto" w:fill="F2F2F2" w:themeFill="background1" w:themeFillShade="F2"/>
            <w:noWrap/>
            <w:hideMark/>
          </w:tcPr>
          <w:p w14:paraId="2256CDDC"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7,9</w:t>
            </w:r>
          </w:p>
        </w:tc>
        <w:tc>
          <w:tcPr>
            <w:tcW w:w="504" w:type="pct"/>
            <w:tcBorders>
              <w:top w:val="nil"/>
              <w:bottom w:val="nil"/>
            </w:tcBorders>
            <w:shd w:val="clear" w:color="auto" w:fill="F2F2F2" w:themeFill="background1" w:themeFillShade="F2"/>
            <w:noWrap/>
            <w:hideMark/>
          </w:tcPr>
          <w:p w14:paraId="772427D7"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8,1</w:t>
            </w:r>
          </w:p>
        </w:tc>
      </w:tr>
      <w:tr w:rsidR="00E81A6E" w:rsidRPr="00E81A6E" w14:paraId="54C72817" w14:textId="77777777" w:rsidTr="00CF286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4" w:type="pct"/>
            <w:tcBorders>
              <w:bottom w:val="nil"/>
            </w:tcBorders>
            <w:shd w:val="clear" w:color="auto" w:fill="FFFFFF" w:themeFill="background1"/>
            <w:noWrap/>
            <w:hideMark/>
          </w:tcPr>
          <w:p w14:paraId="06D575EF"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Вземания от фирми [%]</w:t>
            </w:r>
          </w:p>
        </w:tc>
        <w:tc>
          <w:tcPr>
            <w:tcW w:w="448" w:type="pct"/>
            <w:tcBorders>
              <w:bottom w:val="nil"/>
            </w:tcBorders>
            <w:shd w:val="clear" w:color="auto" w:fill="FFFFFF" w:themeFill="background1"/>
            <w:noWrap/>
            <w:hideMark/>
          </w:tcPr>
          <w:p w14:paraId="461A0AEB"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7,7</w:t>
            </w:r>
          </w:p>
        </w:tc>
        <w:tc>
          <w:tcPr>
            <w:tcW w:w="448" w:type="pct"/>
            <w:tcBorders>
              <w:bottom w:val="nil"/>
            </w:tcBorders>
            <w:shd w:val="clear" w:color="auto" w:fill="FFFFFF" w:themeFill="background1"/>
            <w:noWrap/>
            <w:hideMark/>
          </w:tcPr>
          <w:p w14:paraId="7021C2F1"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9,9</w:t>
            </w:r>
          </w:p>
        </w:tc>
        <w:tc>
          <w:tcPr>
            <w:tcW w:w="477" w:type="pct"/>
            <w:tcBorders>
              <w:top w:val="nil"/>
              <w:bottom w:val="nil"/>
            </w:tcBorders>
            <w:shd w:val="clear" w:color="auto" w:fill="F2F2F2" w:themeFill="background1" w:themeFillShade="F2"/>
            <w:noWrap/>
            <w:hideMark/>
          </w:tcPr>
          <w:p w14:paraId="5A409521"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0,6</w:t>
            </w:r>
          </w:p>
        </w:tc>
        <w:tc>
          <w:tcPr>
            <w:tcW w:w="485" w:type="pct"/>
            <w:tcBorders>
              <w:top w:val="nil"/>
              <w:bottom w:val="nil"/>
            </w:tcBorders>
            <w:shd w:val="clear" w:color="auto" w:fill="F2F2F2" w:themeFill="background1" w:themeFillShade="F2"/>
            <w:noWrap/>
            <w:hideMark/>
          </w:tcPr>
          <w:p w14:paraId="7AA5FD4F"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1,9</w:t>
            </w:r>
          </w:p>
        </w:tc>
        <w:tc>
          <w:tcPr>
            <w:tcW w:w="505" w:type="pct"/>
            <w:tcBorders>
              <w:top w:val="nil"/>
              <w:bottom w:val="nil"/>
            </w:tcBorders>
            <w:shd w:val="clear" w:color="auto" w:fill="F2F2F2" w:themeFill="background1" w:themeFillShade="F2"/>
            <w:noWrap/>
            <w:hideMark/>
          </w:tcPr>
          <w:p w14:paraId="4CF3B63C"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3,8</w:t>
            </w:r>
          </w:p>
        </w:tc>
        <w:tc>
          <w:tcPr>
            <w:tcW w:w="504" w:type="pct"/>
            <w:tcBorders>
              <w:top w:val="nil"/>
              <w:bottom w:val="nil"/>
            </w:tcBorders>
            <w:shd w:val="clear" w:color="auto" w:fill="F2F2F2" w:themeFill="background1" w:themeFillShade="F2"/>
            <w:noWrap/>
            <w:hideMark/>
          </w:tcPr>
          <w:p w14:paraId="3CA3036C" w14:textId="77777777" w:rsidR="00F01B5D" w:rsidRPr="00E81A6E" w:rsidRDefault="00F01B5D" w:rsidP="00CF286C">
            <w:pPr>
              <w:spacing w:after="0"/>
              <w:ind w:firstLineChars="100" w:firstLine="18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4,6</w:t>
            </w:r>
          </w:p>
        </w:tc>
      </w:tr>
      <w:tr w:rsidR="00E81A6E" w:rsidRPr="00E81A6E" w14:paraId="64C504D0" w14:textId="77777777" w:rsidTr="00CF286C">
        <w:trPr>
          <w:trHeight w:val="330"/>
        </w:trPr>
        <w:tc>
          <w:tcPr>
            <w:cnfStyle w:val="001000000000" w:firstRow="0" w:lastRow="0" w:firstColumn="1" w:lastColumn="0" w:oddVBand="0" w:evenVBand="0" w:oddHBand="0" w:evenHBand="0" w:firstRowFirstColumn="0" w:firstRowLastColumn="0" w:lastRowFirstColumn="0" w:lastRowLastColumn="0"/>
            <w:tcW w:w="2134" w:type="pct"/>
            <w:tcBorders>
              <w:top w:val="nil"/>
              <w:bottom w:val="single" w:sz="4" w:space="0" w:color="auto"/>
            </w:tcBorders>
            <w:shd w:val="clear" w:color="auto" w:fill="FFFFFF" w:themeFill="background1"/>
            <w:noWrap/>
            <w:hideMark/>
          </w:tcPr>
          <w:p w14:paraId="7759DCBC" w14:textId="77777777" w:rsidR="00F01B5D" w:rsidRPr="00E81A6E" w:rsidRDefault="00F01B5D" w:rsidP="00CF286C">
            <w:pPr>
              <w:spacing w:after="0"/>
              <w:ind w:firstLineChars="100" w:firstLine="180"/>
              <w:rPr>
                <w:rFonts w:ascii="Times New Roman" w:eastAsia="Times New Roman" w:hAnsi="Times New Roman" w:cs="Times New Roman"/>
                <w:b w:val="0"/>
                <w:color w:val="auto"/>
                <w:sz w:val="18"/>
                <w:szCs w:val="18"/>
                <w:lang w:val="bg-BG"/>
              </w:rPr>
            </w:pPr>
            <w:r w:rsidRPr="00E81A6E">
              <w:rPr>
                <w:rFonts w:ascii="Times New Roman" w:eastAsia="Times New Roman" w:hAnsi="Times New Roman" w:cs="Times New Roman"/>
                <w:b w:val="0"/>
                <w:color w:val="auto"/>
                <w:sz w:val="18"/>
                <w:szCs w:val="18"/>
                <w:lang w:val="bg-BG"/>
              </w:rPr>
              <w:t>Вземания от домакинства [%]</w:t>
            </w:r>
          </w:p>
        </w:tc>
        <w:tc>
          <w:tcPr>
            <w:tcW w:w="448" w:type="pct"/>
            <w:tcBorders>
              <w:top w:val="nil"/>
              <w:bottom w:val="single" w:sz="4" w:space="0" w:color="auto"/>
            </w:tcBorders>
            <w:shd w:val="clear" w:color="auto" w:fill="FFFFFF" w:themeFill="background1"/>
            <w:noWrap/>
            <w:hideMark/>
          </w:tcPr>
          <w:p w14:paraId="4D760518"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11,2</w:t>
            </w:r>
          </w:p>
        </w:tc>
        <w:tc>
          <w:tcPr>
            <w:tcW w:w="448" w:type="pct"/>
            <w:tcBorders>
              <w:top w:val="nil"/>
              <w:bottom w:val="single" w:sz="4" w:space="0" w:color="auto"/>
            </w:tcBorders>
            <w:shd w:val="clear" w:color="auto" w:fill="FFFFFF" w:themeFill="background1"/>
            <w:noWrap/>
            <w:hideMark/>
          </w:tcPr>
          <w:p w14:paraId="43AE39AB"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9,5</w:t>
            </w:r>
          </w:p>
        </w:tc>
        <w:tc>
          <w:tcPr>
            <w:tcW w:w="477" w:type="pct"/>
            <w:tcBorders>
              <w:top w:val="nil"/>
              <w:bottom w:val="single" w:sz="4" w:space="0" w:color="auto"/>
            </w:tcBorders>
            <w:shd w:val="clear" w:color="auto" w:fill="F2F2F2" w:themeFill="background1" w:themeFillShade="F2"/>
            <w:noWrap/>
            <w:hideMark/>
          </w:tcPr>
          <w:p w14:paraId="0DE727B2"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5,0</w:t>
            </w:r>
          </w:p>
        </w:tc>
        <w:tc>
          <w:tcPr>
            <w:tcW w:w="485" w:type="pct"/>
            <w:tcBorders>
              <w:top w:val="nil"/>
              <w:bottom w:val="single" w:sz="4" w:space="0" w:color="auto"/>
            </w:tcBorders>
            <w:shd w:val="clear" w:color="auto" w:fill="F2F2F2" w:themeFill="background1" w:themeFillShade="F2"/>
            <w:noWrap/>
            <w:hideMark/>
          </w:tcPr>
          <w:p w14:paraId="77EA9195"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5,6</w:t>
            </w:r>
          </w:p>
        </w:tc>
        <w:tc>
          <w:tcPr>
            <w:tcW w:w="505" w:type="pct"/>
            <w:tcBorders>
              <w:top w:val="nil"/>
              <w:bottom w:val="single" w:sz="4" w:space="0" w:color="auto"/>
            </w:tcBorders>
            <w:shd w:val="clear" w:color="auto" w:fill="F2F2F2" w:themeFill="background1" w:themeFillShade="F2"/>
            <w:noWrap/>
            <w:hideMark/>
          </w:tcPr>
          <w:p w14:paraId="7CDFEAA0"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18"/>
                <w:szCs w:val="18"/>
                <w:lang w:val="bg-BG"/>
              </w:rPr>
            </w:pPr>
            <w:r w:rsidRPr="00E81A6E">
              <w:rPr>
                <w:rFonts w:asciiTheme="majorHAnsi" w:eastAsia="Times New Roman" w:hAnsiTheme="majorHAnsi" w:cstheme="majorHAnsi"/>
                <w:color w:val="auto"/>
                <w:sz w:val="18"/>
                <w:szCs w:val="18"/>
                <w:lang w:val="bg-BG"/>
              </w:rPr>
              <w:t>6,7</w:t>
            </w:r>
          </w:p>
        </w:tc>
        <w:tc>
          <w:tcPr>
            <w:tcW w:w="504" w:type="pct"/>
            <w:tcBorders>
              <w:top w:val="nil"/>
              <w:bottom w:val="single" w:sz="4" w:space="0" w:color="auto"/>
            </w:tcBorders>
            <w:shd w:val="clear" w:color="auto" w:fill="F2F2F2" w:themeFill="background1" w:themeFillShade="F2"/>
            <w:noWrap/>
            <w:hideMark/>
          </w:tcPr>
          <w:p w14:paraId="3538F2BD" w14:textId="77777777" w:rsidR="00F01B5D" w:rsidRPr="00E81A6E" w:rsidRDefault="00F01B5D" w:rsidP="00CF286C">
            <w:pPr>
              <w:spacing w:after="0"/>
              <w:ind w:firstLineChars="100" w:firstLine="18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pacing w:val="5"/>
                <w:kern w:val="28"/>
                <w:sz w:val="18"/>
                <w:szCs w:val="18"/>
                <w:lang w:val="bg-BG" w:eastAsia="bg-BG" w:bidi="ar-SA"/>
              </w:rPr>
            </w:pPr>
            <w:r w:rsidRPr="00E81A6E">
              <w:rPr>
                <w:rFonts w:asciiTheme="majorHAnsi" w:eastAsia="Times New Roman" w:hAnsiTheme="majorHAnsi" w:cstheme="majorHAnsi"/>
                <w:color w:val="auto"/>
                <w:sz w:val="18"/>
                <w:szCs w:val="18"/>
                <w:lang w:val="bg-BG"/>
              </w:rPr>
              <w:t>6,9</w:t>
            </w:r>
          </w:p>
        </w:tc>
      </w:tr>
    </w:tbl>
    <w:bookmarkEnd w:id="13"/>
    <w:bookmarkEnd w:id="14"/>
    <w:bookmarkEnd w:id="15"/>
    <w:bookmarkEnd w:id="16"/>
    <w:p w14:paraId="75569CB1" w14:textId="77777777" w:rsidR="00A613C8" w:rsidRPr="00E81A6E" w:rsidRDefault="00E46A9F" w:rsidP="00F55B06">
      <w:pPr>
        <w:spacing w:after="0" w:line="240" w:lineRule="auto"/>
        <w:ind w:firstLine="720"/>
        <w:contextualSpacing/>
        <w:jc w:val="right"/>
        <w:rPr>
          <w:rFonts w:ascii="Times New Roman" w:hAnsi="Times New Roman" w:cs="Times New Roman"/>
          <w:sz w:val="20"/>
          <w:szCs w:val="24"/>
        </w:rPr>
      </w:pPr>
      <w:r w:rsidRPr="00E81A6E">
        <w:rPr>
          <w:rFonts w:ascii="Times New Roman" w:hAnsi="Times New Roman" w:cs="Times New Roman"/>
          <w:sz w:val="20"/>
          <w:szCs w:val="24"/>
        </w:rPr>
        <w:t>Източник: МФ, НСИ, БНБ</w:t>
      </w:r>
    </w:p>
    <w:p w14:paraId="16C6192E" w14:textId="77777777" w:rsidR="00F01B5D" w:rsidRPr="00E81A6E" w:rsidRDefault="00F01B5D" w:rsidP="00F55B06">
      <w:pPr>
        <w:spacing w:after="0" w:line="240" w:lineRule="auto"/>
        <w:ind w:firstLine="720"/>
        <w:contextualSpacing/>
        <w:jc w:val="right"/>
        <w:rPr>
          <w:rFonts w:ascii="Times New Roman" w:hAnsi="Times New Roman" w:cs="Times New Roman"/>
          <w:sz w:val="20"/>
          <w:szCs w:val="24"/>
        </w:rPr>
      </w:pPr>
    </w:p>
    <w:p w14:paraId="48C0BC52" w14:textId="77777777" w:rsidR="00F01B5D" w:rsidRPr="00E81A6E" w:rsidRDefault="00F01B5D" w:rsidP="00F55B06">
      <w:pPr>
        <w:spacing w:after="0" w:line="240" w:lineRule="auto"/>
        <w:ind w:firstLine="720"/>
        <w:contextualSpacing/>
        <w:jc w:val="right"/>
        <w:rPr>
          <w:rFonts w:ascii="Times New Roman" w:hAnsi="Times New Roman" w:cs="Times New Roman"/>
          <w:b/>
          <w:bCs/>
          <w:szCs w:val="24"/>
          <w:lang w:val="bg-BG"/>
        </w:rPr>
      </w:pPr>
    </w:p>
    <w:p w14:paraId="250581FD"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БРУТЕН ВЪТРЕШЕН ПРОДУКТ</w:t>
      </w:r>
    </w:p>
    <w:p w14:paraId="5F588579"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През 2020 г. се прогнозира спад на БВП от 3%. Очаква се до края на годината потреблението на домакинствата да продължи да се понижава под влияние на повишената несигурност и по-слабото нарастване на доходите. В същото време се очаква публичните разходи както за потребление, така и за инвестиции да продължат да нарастват и да допринесат положително за динамиката на БВП през годината. Частните инвестиции ще останат потиснати и през втората половина на годината поради несигурната среда и слабото търсене. Спадът на световната и най-вече на европейската икономика ще доведе до годишно понижение на износа на стоки. В резултат, общото понижение на реалния износ на стоки и услуги ще достигне 10,2%. Ограниченото търсене на стоки за експортно-ориентираните дейности, както и за потребление и инвестиции вътре в страната, ще предизвика и спад на вноса на стоки и услуги, който се оценява на 10,4%. Общият принос на външния сектор към растежа на БВП ще бъде почти неутрален.</w:t>
      </w:r>
    </w:p>
    <w:p w14:paraId="6205667F"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През 2021 г. </w:t>
      </w:r>
      <w:r w:rsidR="00326039" w:rsidRPr="00E81A6E">
        <w:rPr>
          <w:rFonts w:ascii="Times New Roman" w:hAnsi="Times New Roman" w:cs="Times New Roman"/>
          <w:sz w:val="24"/>
          <w:szCs w:val="24"/>
          <w:lang w:val="bg-BG" w:eastAsia="en-US"/>
        </w:rPr>
        <w:t>се очак</w:t>
      </w:r>
      <w:r w:rsidRPr="00E81A6E">
        <w:rPr>
          <w:rFonts w:ascii="Times New Roman" w:hAnsi="Times New Roman" w:cs="Times New Roman"/>
          <w:sz w:val="24"/>
          <w:szCs w:val="24"/>
          <w:lang w:val="bg-BG" w:eastAsia="en-US"/>
        </w:rPr>
        <w:t xml:space="preserve">ва растежът на БВП да достигне 2,5%. </w:t>
      </w:r>
      <w:r w:rsidR="00326039" w:rsidRPr="00E81A6E">
        <w:rPr>
          <w:rFonts w:ascii="Times New Roman" w:hAnsi="Times New Roman" w:cs="Times New Roman"/>
          <w:sz w:val="24"/>
          <w:szCs w:val="24"/>
          <w:lang w:val="bg-BG" w:eastAsia="en-US"/>
        </w:rPr>
        <w:t>Потреблението на домакинствата да</w:t>
      </w:r>
      <w:r w:rsidRPr="00E81A6E">
        <w:rPr>
          <w:rFonts w:ascii="Times New Roman" w:hAnsi="Times New Roman" w:cs="Times New Roman"/>
          <w:sz w:val="24"/>
          <w:szCs w:val="24"/>
          <w:lang w:val="bg-BG" w:eastAsia="en-US"/>
        </w:rPr>
        <w:t xml:space="preserve"> се възстанови и </w:t>
      </w:r>
      <w:r w:rsidR="00326039" w:rsidRPr="00E81A6E">
        <w:rPr>
          <w:rFonts w:ascii="Times New Roman" w:hAnsi="Times New Roman" w:cs="Times New Roman"/>
          <w:sz w:val="24"/>
          <w:szCs w:val="24"/>
          <w:lang w:val="bg-BG" w:eastAsia="en-US"/>
        </w:rPr>
        <w:t>да</w:t>
      </w:r>
      <w:r w:rsidRPr="00E81A6E">
        <w:rPr>
          <w:rFonts w:ascii="Times New Roman" w:hAnsi="Times New Roman" w:cs="Times New Roman"/>
          <w:sz w:val="24"/>
          <w:szCs w:val="24"/>
          <w:lang w:val="bg-BG" w:eastAsia="en-US"/>
        </w:rPr>
        <w:t xml:space="preserve"> надмине нивата от 2019 г., подкрепено от повишението на заетостта и разполагаемия доход. Спадът на инвестициите ще продължи и през 2021 г., но с по-бавен темп. Инвестициите са компонентът, който ще се възстановява най-бавно. Очакваното благоприятно развитие в основните ни търговски партньори ще доведе до пълно възстановяване на износа на стоки през 2021 г. Прогнозата е той да нарасне с 5,6% и да надвиши нивото си от 2019 г. по постоянни цени. Същевременно, износът на услуги ще остане под предкризисните нива, въпреки очаквания съществен реален растеж. Основната причина е забавеното възстановяване на международните пътувания. Вносът на стоки и услуги ще последва тенденциите във вътрешното търсене и износа, като нито при стоките, нито при услугите ще се наблюдава достигане на нивата от 2019 г. В резултат на по-бързото нарастване на износа спрямо вноса, нетният износ ще има положителен принос към растежа на БВП за 2021 г.</w:t>
      </w:r>
    </w:p>
    <w:p w14:paraId="0439F36D" w14:textId="77777777" w:rsidR="00BC50C3"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Растежът на БВП ще се ускори до 3% през 2022 г. и 3,2% през 2023 г. Повишеното доверие сред потребителите и нарастването на доходите ще доведат до растеж на частното потребление. В последната прогнозна година се очаква по-високо нарастване на публичните инвестиции поради достигането на края на периода за усвояването на европейски средства по програмния период 2014-2020г., както и очакванията за финализиране на инфраструктурни проекти. През 2022-2023г. растежът на износа на стоки ще остане стабилен, в съответствие с развитието на външната среда. Износът на услуги ще продължи да нараства с високи темпове в резултат на възстановяване доверието на чуждестранните туристи, дейността на туроператорите и авиопревозвачите. Вносът на стоки ще се ускори, подкрепен от по-високото вътрешно търсене.</w:t>
      </w:r>
    </w:p>
    <w:p w14:paraId="3E3C558B"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2BAA9123"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 ПАЗАР НА ТРУДА</w:t>
      </w:r>
    </w:p>
    <w:p w14:paraId="498EA4CF"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Очакванията за 2020 г. са средногодишният брой на заетите (според ЕСС 2010) да </w:t>
      </w:r>
      <w:r w:rsidR="003F3365" w:rsidRPr="00E81A6E">
        <w:rPr>
          <w:rFonts w:ascii="Times New Roman" w:hAnsi="Times New Roman" w:cs="Times New Roman"/>
          <w:sz w:val="24"/>
          <w:szCs w:val="24"/>
          <w:lang w:val="bg-BG" w:eastAsia="en-US"/>
        </w:rPr>
        <w:t xml:space="preserve">е </w:t>
      </w:r>
      <w:r w:rsidRPr="00E81A6E">
        <w:rPr>
          <w:rFonts w:ascii="Times New Roman" w:hAnsi="Times New Roman" w:cs="Times New Roman"/>
          <w:sz w:val="24"/>
          <w:szCs w:val="24"/>
          <w:lang w:val="bg-BG" w:eastAsia="en-US"/>
        </w:rPr>
        <w:t>намал</w:t>
      </w:r>
      <w:r w:rsidR="003F3365" w:rsidRPr="00E81A6E">
        <w:rPr>
          <w:rFonts w:ascii="Times New Roman" w:hAnsi="Times New Roman" w:cs="Times New Roman"/>
          <w:sz w:val="24"/>
          <w:szCs w:val="24"/>
          <w:lang w:val="bg-BG" w:eastAsia="en-US"/>
        </w:rPr>
        <w:t>ял</w:t>
      </w:r>
      <w:r w:rsidRPr="00E81A6E">
        <w:rPr>
          <w:rFonts w:ascii="Times New Roman" w:hAnsi="Times New Roman" w:cs="Times New Roman"/>
          <w:sz w:val="24"/>
          <w:szCs w:val="24"/>
          <w:lang w:val="bg-BG" w:eastAsia="en-US"/>
        </w:rPr>
        <w:t xml:space="preserve"> с 2,6% спрямо предходната година, а средногодишното ниво на безработица да се </w:t>
      </w:r>
      <w:r w:rsidR="003F3365" w:rsidRPr="00E81A6E">
        <w:rPr>
          <w:rFonts w:ascii="Times New Roman" w:hAnsi="Times New Roman" w:cs="Times New Roman"/>
          <w:sz w:val="24"/>
          <w:szCs w:val="24"/>
          <w:lang w:val="bg-BG" w:eastAsia="en-US"/>
        </w:rPr>
        <w:t>е</w:t>
      </w:r>
      <w:r w:rsidR="00D86A75"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повиши</w:t>
      </w:r>
      <w:r w:rsidR="003F3365" w:rsidRPr="00E81A6E">
        <w:rPr>
          <w:rFonts w:ascii="Times New Roman" w:hAnsi="Times New Roman" w:cs="Times New Roman"/>
          <w:sz w:val="24"/>
          <w:szCs w:val="24"/>
          <w:lang w:val="bg-BG" w:eastAsia="en-US"/>
        </w:rPr>
        <w:t>ло</w:t>
      </w:r>
      <w:r w:rsidRPr="00E81A6E">
        <w:rPr>
          <w:rFonts w:ascii="Times New Roman" w:hAnsi="Times New Roman" w:cs="Times New Roman"/>
          <w:sz w:val="24"/>
          <w:szCs w:val="24"/>
          <w:lang w:val="bg-BG" w:eastAsia="en-US"/>
        </w:rPr>
        <w:t xml:space="preserve"> до 5,6%. Възстановяването на заетостта се очаква да започне през второто тримесечие на 2022г., но броят на заетите, наблюдаван през 2019 г. се очаква да бъде достигнат през 2022-2023 г. Заедно с процеса на възстановяване на заетостта се очаква и коефициентът на безработица да намалее първоначално до 5,2% през 2021 г., а през следващите години и до 4,6%, на което ниво да се стабилизира.</w:t>
      </w:r>
    </w:p>
    <w:p w14:paraId="005582C7"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lastRenderedPageBreak/>
        <w:t>За 2020 г. номиналният темп на нарастване на доходите от труд е 5%. През 2020 г. динамиката на реалната производителност на труда ще премине на отрицателна територия и ще се понижи с над 3 пр.п. спрямо регистрирания растеж през 2019 г. През 2021 г. компенсацията на един нает ще има ускорен темп на нарастване, който се очаква да достигне около 6%. Последното ще отразява ускорението на показателя както в частния сектор, така и ефектите от по-нататъшното увеличение на доходите в сектора на образованието, планираното ново увеличение на разходите за персонал в държавната администрация, в структурите, които са натоварени с дейности по овладяване на пандемията и последствията от нея, минималната работна заплата и др. Възходящото развитие на разглеждания показател ще продължи и през 2022-2023 г. В периода 2021-2023 г. се очаква също и възстановяване на положителната динамика на производителността на труда.</w:t>
      </w:r>
    </w:p>
    <w:p w14:paraId="6B86BD25"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2B131EC5"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ИНФЛАЦИЯ</w:t>
      </w:r>
    </w:p>
    <w:p w14:paraId="179023D7"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За 2020 г. се очертава външните и вътрешните фактори за нарастване на цените в страната да имат слабо влияние, но инфлацията до август бе по-висока от предвижданата в пролетната прогноза. В месечната динамика на инфлацията на годишна база,</w:t>
      </w:r>
      <w:r w:rsidR="003F3365" w:rsidRPr="00E81A6E">
        <w:rPr>
          <w:rFonts w:ascii="Times New Roman" w:hAnsi="Times New Roman" w:cs="Times New Roman"/>
          <w:sz w:val="24"/>
          <w:szCs w:val="24"/>
          <w:lang w:val="bg-BG" w:eastAsia="en-US"/>
        </w:rPr>
        <w:t xml:space="preserve"> се</w:t>
      </w:r>
      <w:r w:rsidRPr="00E81A6E">
        <w:rPr>
          <w:rFonts w:ascii="Times New Roman" w:hAnsi="Times New Roman" w:cs="Times New Roman"/>
          <w:sz w:val="24"/>
          <w:szCs w:val="24"/>
          <w:lang w:val="bg-BG" w:eastAsia="en-US"/>
        </w:rPr>
        <w:t xml:space="preserve"> очаква повиш</w:t>
      </w:r>
      <w:r w:rsidR="003F3365" w:rsidRPr="00E81A6E">
        <w:rPr>
          <w:rFonts w:ascii="Times New Roman" w:hAnsi="Times New Roman" w:cs="Times New Roman"/>
          <w:sz w:val="24"/>
          <w:szCs w:val="24"/>
          <w:lang w:val="bg-BG" w:eastAsia="en-US"/>
        </w:rPr>
        <w:t>ение</w:t>
      </w:r>
      <w:r w:rsidRPr="00E81A6E">
        <w:rPr>
          <w:rFonts w:ascii="Times New Roman" w:hAnsi="Times New Roman" w:cs="Times New Roman"/>
          <w:sz w:val="24"/>
          <w:szCs w:val="24"/>
          <w:lang w:val="bg-BG" w:eastAsia="en-US"/>
        </w:rPr>
        <w:t xml:space="preserve"> до 0,8% в края на годината. Средногодишната инфлация се очертава да бъде 1,4% при очакване от 0,1% в пролетната прогноза.</w:t>
      </w:r>
    </w:p>
    <w:p w14:paraId="0FBBB265"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Инфлационните процеси през 2021 г. зависят преди всичко от степента на възстановяване на международните цени на суровините и на цените на петрола. Текущите международни оценки за динамиката на цените на петрола показват покачване от 20% през 2021 г., което е доста под нивото от 2019 г. В сравнение с 2020 г. ще има нарастване при цените на енергийните стоки в страната в края на 2021 г., което се оценява на 5%. Международните цени на храните леко ще поскъпнат през 2021 г., което ще предизвика и по-висока инфлация при тях в сравнение с 2020 година. При услугите очакваме ускорение на нарастването на техните цени в 2022-2023 г., което ще се дължи на възстановяване на вътрешното търсене. В края на 2021 г. </w:t>
      </w:r>
      <w:r w:rsidR="003F3365" w:rsidRPr="00E81A6E">
        <w:rPr>
          <w:rFonts w:ascii="Times New Roman" w:hAnsi="Times New Roman" w:cs="Times New Roman"/>
          <w:sz w:val="24"/>
          <w:szCs w:val="24"/>
          <w:lang w:val="bg-BG" w:eastAsia="en-US"/>
        </w:rPr>
        <w:t xml:space="preserve">се </w:t>
      </w:r>
      <w:r w:rsidRPr="00E81A6E">
        <w:rPr>
          <w:rFonts w:ascii="Times New Roman" w:hAnsi="Times New Roman" w:cs="Times New Roman"/>
          <w:sz w:val="24"/>
          <w:szCs w:val="24"/>
          <w:lang w:val="bg-BG" w:eastAsia="en-US"/>
        </w:rPr>
        <w:t>прогнозира инфлацията да се ускори до 2,8%, а средногодишната инфлация до 2,1%.</w:t>
      </w:r>
    </w:p>
    <w:p w14:paraId="2EB78484"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През последните две години от прогнозния период очаква</w:t>
      </w:r>
      <w:r w:rsidR="003F3365" w:rsidRPr="00E81A6E">
        <w:rPr>
          <w:rFonts w:ascii="Times New Roman" w:hAnsi="Times New Roman" w:cs="Times New Roman"/>
          <w:sz w:val="24"/>
          <w:szCs w:val="24"/>
          <w:lang w:val="bg-BG" w:eastAsia="en-US"/>
        </w:rPr>
        <w:t>нията са</w:t>
      </w:r>
      <w:r w:rsidRPr="00E81A6E">
        <w:rPr>
          <w:rFonts w:ascii="Times New Roman" w:hAnsi="Times New Roman" w:cs="Times New Roman"/>
          <w:sz w:val="24"/>
          <w:szCs w:val="24"/>
          <w:lang w:val="bg-BG" w:eastAsia="en-US"/>
        </w:rPr>
        <w:t xml:space="preserve"> средногодишната инфлация да бъде около 2,5-2,6%.</w:t>
      </w:r>
    </w:p>
    <w:p w14:paraId="51637BCB"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7090EB4B"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ПЛАТЕЖЕН БАЛАНС</w:t>
      </w:r>
    </w:p>
    <w:p w14:paraId="029F8034"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През 2021 г. се очаква възстановяване на номиналния растеж на износа и вноса на стоки, подкрепен от реални растежи и нарастване на цените. Силният реален растеж на</w:t>
      </w:r>
      <w:r w:rsidR="00BC50C3"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износа ще е основа за допълнително свиване на търговския дефицит. При услугите се очаква значително повишение, най-вече на транспортни услуги и пътувания</w:t>
      </w:r>
      <w:r w:rsidR="00BC50C3" w:rsidRPr="00E81A6E">
        <w:rPr>
          <w:rFonts w:ascii="Times New Roman" w:hAnsi="Times New Roman" w:cs="Times New Roman"/>
          <w:sz w:val="24"/>
          <w:szCs w:val="24"/>
          <w:lang w:val="bg-BG" w:eastAsia="en-US"/>
        </w:rPr>
        <w:t>.</w:t>
      </w:r>
      <w:r w:rsidRPr="00E81A6E">
        <w:rPr>
          <w:rFonts w:ascii="Times New Roman" w:hAnsi="Times New Roman" w:cs="Times New Roman"/>
          <w:sz w:val="24"/>
          <w:szCs w:val="24"/>
          <w:lang w:val="bg-BG" w:eastAsia="en-US"/>
        </w:rPr>
        <w:t xml:space="preserve"> Балансът на текущата сметка ще се подобри до излишък от 3,9% от БВП. В края на прогнозния период номиналното нарастване на вноса на стоки ще изпревари това на износа и ще допринесе за повишение на търговския дефицит. Продължаващото възстановяване на износа на услуги през 2022 г. ще е основен фактор за подобрението на баланса на услуги, както и за допълнителното увеличение на излишъка на текущата сметка.</w:t>
      </w:r>
    </w:p>
    <w:p w14:paraId="3C060A5B"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Преките чуждестранни инвестиции </w:t>
      </w:r>
      <w:r w:rsidR="003F3365" w:rsidRPr="00E81A6E">
        <w:rPr>
          <w:rFonts w:ascii="Times New Roman" w:hAnsi="Times New Roman" w:cs="Times New Roman"/>
          <w:sz w:val="24"/>
          <w:szCs w:val="24"/>
          <w:lang w:val="bg-BG" w:eastAsia="en-US"/>
        </w:rPr>
        <w:t>се очаква да</w:t>
      </w:r>
      <w:r w:rsidRPr="00E81A6E">
        <w:rPr>
          <w:rFonts w:ascii="Times New Roman" w:hAnsi="Times New Roman" w:cs="Times New Roman"/>
          <w:sz w:val="24"/>
          <w:szCs w:val="24"/>
          <w:lang w:val="bg-BG" w:eastAsia="en-US"/>
        </w:rPr>
        <w:t xml:space="preserve"> възлизат на около 2,9% от БВП през целия прогнозен хоризонт.</w:t>
      </w:r>
    </w:p>
    <w:p w14:paraId="4EC81921"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6D78F02F"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ПАРИЧЕН СЕКТОР</w:t>
      </w:r>
    </w:p>
    <w:p w14:paraId="53A33C2D"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lastRenderedPageBreak/>
        <w:t>В периода 2021-2023 г. търсенето на кредити ще започне да се възстановява, но годишните темпове на нарастване от преди пандемията няма да бъдат достигнати. От страна на нефинансовите предприятия възстановяването ще бъде по-слабо и повлияно от очакванията за слабо възстановяване на частните инвестиции. Кредитът за домакинства също плавно ще се ускорява в съответствие с динамиката на компенсациите на наетите и по-ниското равнище на безработица. Годишният растеж на вземанията от домакинства се прогнозир</w:t>
      </w:r>
      <w:r w:rsidR="003F3365" w:rsidRPr="00E81A6E">
        <w:rPr>
          <w:rFonts w:ascii="Times New Roman" w:hAnsi="Times New Roman" w:cs="Times New Roman"/>
          <w:sz w:val="24"/>
          <w:szCs w:val="24"/>
          <w:lang w:val="bg-BG" w:eastAsia="en-US"/>
        </w:rPr>
        <w:t>а да бъде 5,6% през 2021 г. и да</w:t>
      </w:r>
      <w:r w:rsidRPr="00E81A6E">
        <w:rPr>
          <w:rFonts w:ascii="Times New Roman" w:hAnsi="Times New Roman" w:cs="Times New Roman"/>
          <w:sz w:val="24"/>
          <w:szCs w:val="24"/>
          <w:lang w:val="bg-BG" w:eastAsia="en-US"/>
        </w:rPr>
        <w:t xml:space="preserve"> достигне 6,9% в края на периода. Общо годишният растеж на вземанията от частния сектор в края на 2023 г. ще се повиши до 5,5%.</w:t>
      </w:r>
    </w:p>
    <w:p w14:paraId="384862FD" w14:textId="77777777" w:rsidR="00C240A0" w:rsidRPr="00E81A6E" w:rsidRDefault="00C240A0" w:rsidP="00F55B06">
      <w:pPr>
        <w:spacing w:after="0" w:line="240" w:lineRule="auto"/>
        <w:ind w:firstLine="720"/>
        <w:contextualSpacing/>
        <w:jc w:val="both"/>
        <w:rPr>
          <w:rFonts w:ascii="Times New Roman" w:hAnsi="Times New Roman" w:cs="Times New Roman"/>
          <w:sz w:val="24"/>
          <w:szCs w:val="24"/>
          <w:lang w:val="bg-BG" w:eastAsia="en-US"/>
        </w:rPr>
      </w:pPr>
    </w:p>
    <w:p w14:paraId="4C0A592E"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РИСКОВЕ ПРЕД ПРОГНОЗАТА</w:t>
      </w:r>
    </w:p>
    <w:p w14:paraId="440C0850"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Представената прогноза е зависима от развитието на епидемичната обстановка както в страната, така и в глобален план. При увеличаване на мерките, целящи ограничение на пандемията и имащи задържащ ефект върху икономическата активност, може да се очакват отрицателни шокове както по линия на предлагането, така и по линия на потреблението и износа. Тези шокове биха имали негативен ефект върху БВП най-вече през 2020 и 2021 г., но при липса на устойчиво решение за справяне с пандемията може да се очаква несигурността сред икономическите агенти да остане висока в средносрочен план и в резултат да се реализират по-ниски растежи.</w:t>
      </w:r>
    </w:p>
    <w:p w14:paraId="1CA7AD4C" w14:textId="77777777" w:rsidR="00052FA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По отношение на външната среда, последните прогнози за държавите, основни търговски партньори на България, показват ревизиране на очакванията към по-плавно възстановяване. Запазват се и негативните рискове, свързани с протекционистичните политики и нарушаване на глобалната търговия, както и с ефектите от излизането на Обединеното кралство от Европейския съюз. Всички те могат да се отразят в по-бавни темпове на нарастване на износа в прогнозния период.</w:t>
      </w:r>
    </w:p>
    <w:p w14:paraId="67AFF3FB" w14:textId="77777777" w:rsidR="00243526" w:rsidRPr="00E81A6E" w:rsidRDefault="00052FA6"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Съществуват и рискове в положителна посока. При по-бързо справяне с епидемичната ситуация в глобален план, в средносрочен период може да се наблюдава много по-благоприятно влияние по линия на външната среда, особено при ускорено възстановяване на международния туризъм. Същевременно, в страната е възможно да се реализира по–бързо възстановяване на инвестициите и по-силно нарастване на потреблението</w:t>
      </w:r>
      <w:r w:rsidR="007F411E" w:rsidRPr="00E81A6E">
        <w:rPr>
          <w:rFonts w:ascii="Times New Roman" w:hAnsi="Times New Roman" w:cs="Times New Roman"/>
          <w:sz w:val="24"/>
          <w:szCs w:val="24"/>
          <w:lang w:val="bg-BG" w:eastAsia="en-US"/>
        </w:rPr>
        <w:t>,</w:t>
      </w:r>
      <w:r w:rsidRPr="00E81A6E">
        <w:rPr>
          <w:rFonts w:ascii="Times New Roman" w:hAnsi="Times New Roman" w:cs="Times New Roman"/>
          <w:sz w:val="24"/>
          <w:szCs w:val="24"/>
          <w:lang w:val="bg-BG" w:eastAsia="en-US"/>
        </w:rPr>
        <w:t xml:space="preserve"> предвид възстановяването на пазара на труда. Средствата по плана за възстановяване на Европа също ще окажат положителен ефект върху икономиката, най-вече в периода 2022-2023 г. Очаква се България да получи над 10 млрд. евро по линия на новия Механизъм за възстановяване и устойчивост на ЕС.</w:t>
      </w:r>
    </w:p>
    <w:p w14:paraId="642FC6F0" w14:textId="77777777" w:rsidR="00631B98" w:rsidRPr="00E81A6E" w:rsidRDefault="00631B98" w:rsidP="00F55B06">
      <w:pPr>
        <w:spacing w:after="0" w:line="240" w:lineRule="auto"/>
        <w:ind w:firstLine="720"/>
        <w:contextualSpacing/>
        <w:jc w:val="both"/>
        <w:rPr>
          <w:rFonts w:ascii="Times New Roman" w:hAnsi="Times New Roman" w:cs="Times New Roman"/>
          <w:sz w:val="24"/>
          <w:szCs w:val="24"/>
          <w:lang w:eastAsia="zh-CN"/>
        </w:rPr>
      </w:pPr>
      <w:r w:rsidRPr="00E81A6E">
        <w:rPr>
          <w:rFonts w:ascii="Times New Roman" w:hAnsi="Times New Roman" w:cs="Times New Roman"/>
          <w:sz w:val="24"/>
          <w:szCs w:val="24"/>
          <w:lang w:eastAsia="zh-CN"/>
        </w:rPr>
        <w:t xml:space="preserve">Приоритет за страната остава успешното усвояване на </w:t>
      </w:r>
      <w:r w:rsidRPr="00E81A6E">
        <w:rPr>
          <w:rFonts w:ascii="Times New Roman" w:hAnsi="Times New Roman" w:cs="Times New Roman"/>
          <w:b/>
          <w:sz w:val="24"/>
          <w:szCs w:val="24"/>
          <w:lang w:eastAsia="zh-CN"/>
        </w:rPr>
        <w:t>средствата от европейските фондове и програми</w:t>
      </w:r>
      <w:r w:rsidRPr="00E81A6E">
        <w:rPr>
          <w:rFonts w:ascii="Times New Roman" w:hAnsi="Times New Roman" w:cs="Times New Roman"/>
          <w:sz w:val="24"/>
          <w:szCs w:val="24"/>
          <w:lang w:eastAsia="zh-CN"/>
        </w:rPr>
        <w:t>, чрез които да се постигне устойчив икономически растеж, по-висока заетост, социално включване</w:t>
      </w:r>
      <w:r w:rsidRPr="00E81A6E">
        <w:rPr>
          <w:rFonts w:ascii="Times New Roman" w:hAnsi="Times New Roman" w:cs="Times New Roman"/>
          <w:sz w:val="24"/>
          <w:szCs w:val="24"/>
        </w:rPr>
        <w:t>, социално, икономическо</w:t>
      </w:r>
      <w:r w:rsidRPr="00E81A6E">
        <w:rPr>
          <w:rFonts w:ascii="Times New Roman" w:hAnsi="Times New Roman" w:cs="Times New Roman"/>
          <w:sz w:val="24"/>
          <w:szCs w:val="24"/>
          <w:lang w:eastAsia="zh-CN"/>
        </w:rPr>
        <w:t xml:space="preserve"> и териториално сближаване и изграждане на конкурентоспособна и иновативна икономика.</w:t>
      </w:r>
    </w:p>
    <w:p w14:paraId="17EFCE77" w14:textId="77777777" w:rsidR="00631B98" w:rsidRPr="00E81A6E" w:rsidRDefault="00631B98" w:rsidP="00F55B06">
      <w:pPr>
        <w:spacing w:after="0" w:line="240" w:lineRule="auto"/>
        <w:ind w:firstLine="720"/>
        <w:contextualSpacing/>
        <w:jc w:val="both"/>
        <w:rPr>
          <w:rFonts w:ascii="Times New Roman" w:hAnsi="Times New Roman" w:cs="Times New Roman"/>
          <w:sz w:val="24"/>
          <w:szCs w:val="24"/>
          <w:lang w:eastAsia="zh-CN"/>
        </w:rPr>
      </w:pPr>
      <w:r w:rsidRPr="00E81A6E">
        <w:rPr>
          <w:rFonts w:ascii="Times New Roman" w:hAnsi="Times New Roman" w:cs="Times New Roman"/>
          <w:sz w:val="24"/>
          <w:szCs w:val="24"/>
          <w:lang w:eastAsia="zh-CN"/>
        </w:rPr>
        <w:t>Заделеният за България ресурс по инициативата на Европейския съюз REACT-EU е разпределен в пет от действащите оперативните програми от програмен период 2014-2020 г., които позволяват финансиране на дейности, в подкрепа на преодоляването на последиците от кризата, предизвикана от пандемията от COVID-19, и подготовка за екологично, цифрово и устойчиво възстановяване на икономиката (REACT-EU).</w:t>
      </w:r>
    </w:p>
    <w:p w14:paraId="65D06692" w14:textId="77777777" w:rsidR="00631B98" w:rsidRPr="00E81A6E" w:rsidRDefault="00631B98" w:rsidP="00F55B06">
      <w:pPr>
        <w:spacing w:after="0" w:line="240" w:lineRule="auto"/>
        <w:ind w:firstLine="720"/>
        <w:contextualSpacing/>
        <w:jc w:val="both"/>
        <w:rPr>
          <w:rFonts w:ascii="Times New Roman" w:hAnsi="Times New Roman" w:cs="Times New Roman"/>
          <w:bCs/>
          <w:sz w:val="24"/>
          <w:szCs w:val="24"/>
          <w:lang w:eastAsia="zh-CN"/>
        </w:rPr>
      </w:pPr>
      <w:r w:rsidRPr="00E81A6E">
        <w:rPr>
          <w:rFonts w:ascii="Times New Roman" w:hAnsi="Times New Roman" w:cs="Times New Roman"/>
          <w:bCs/>
          <w:sz w:val="24"/>
          <w:szCs w:val="24"/>
          <w:lang w:eastAsia="zh-CN"/>
        </w:rPr>
        <w:t xml:space="preserve">Друга мярка, която се предвижда да заработи, е Механизмът за възстановяване и устойчивост (Recovery and Resilience Facility), който представлява ключова програма на Инструмента за възстановяване на ЕС. С него на държавите членки ще се предоставят безвъзмездна финансова подкрепа и заеми, за да се подпомогнат публичните инвестиции и </w:t>
      </w:r>
      <w:r w:rsidRPr="00E81A6E">
        <w:rPr>
          <w:rFonts w:ascii="Times New Roman" w:hAnsi="Times New Roman" w:cs="Times New Roman"/>
          <w:bCs/>
          <w:sz w:val="24"/>
          <w:szCs w:val="24"/>
          <w:lang w:eastAsia="zh-CN"/>
        </w:rPr>
        <w:lastRenderedPageBreak/>
        <w:t>реформи, предвидени в техните планове за възстановяване и устойчивост, както и за смекчаване на последиците за обществото, причинени от настоящата криза с COVID-19. Финансовият пакет, от който България може да се възползва, е 5,981 млрд. евро грантове и около 4,0 млрд. евро заеми (съгласно индикативните разчети към анексите от проекта на регламент).</w:t>
      </w:r>
    </w:p>
    <w:p w14:paraId="06FBE9DA" w14:textId="77777777" w:rsidR="00631B98" w:rsidRPr="00E81A6E" w:rsidRDefault="00631B98" w:rsidP="00F55B06">
      <w:pPr>
        <w:spacing w:after="0" w:line="240" w:lineRule="auto"/>
        <w:ind w:firstLine="720"/>
        <w:contextualSpacing/>
        <w:jc w:val="both"/>
        <w:rPr>
          <w:rFonts w:ascii="Times New Roman" w:hAnsi="Times New Roman" w:cs="Times New Roman"/>
          <w:bCs/>
          <w:sz w:val="24"/>
          <w:szCs w:val="24"/>
          <w:lang w:eastAsia="zh-CN"/>
        </w:rPr>
      </w:pPr>
      <w:r w:rsidRPr="00E81A6E">
        <w:rPr>
          <w:rFonts w:ascii="Times New Roman" w:hAnsi="Times New Roman" w:cs="Times New Roman"/>
          <w:bCs/>
          <w:sz w:val="24"/>
          <w:szCs w:val="24"/>
          <w:lang w:eastAsia="zh-CN"/>
        </w:rPr>
        <w:t>Въз основа на допусканията и прогнозното нетно дългово финансиране през 2021-2023 г. се очаква в края на периода държавният дълг да достигне до ниво от 38,9 млрд.лв., респективно съотношението на държавния дълг спрямо БВП да нарасне от 25,6%  към края на 2021 г. до 28,2% в края на 2023 г. Независимо от повишената стойност на относителния дял на консолидирания дълг спрямо БВП, същите остават далеч под максимално допустимата референтна стойност на Маастрихтския критерий за конвергенция от 60%, което ще гарантира запазване на равнището на държавна задлъжнялост на Република България сред 28-те държави-членки на ЕС по отношение на</w:t>
      </w:r>
      <w:r w:rsidR="001A7729" w:rsidRPr="00E81A6E">
        <w:rPr>
          <w:rFonts w:ascii="Times New Roman" w:hAnsi="Times New Roman" w:cs="Times New Roman"/>
          <w:bCs/>
          <w:sz w:val="24"/>
          <w:szCs w:val="24"/>
          <w:lang w:val="bg-BG" w:eastAsia="zh-CN"/>
        </w:rPr>
        <w:t xml:space="preserve"> </w:t>
      </w:r>
      <w:r w:rsidRPr="00E81A6E">
        <w:rPr>
          <w:rFonts w:ascii="Times New Roman" w:hAnsi="Times New Roman" w:cs="Times New Roman"/>
          <w:bCs/>
          <w:sz w:val="24"/>
          <w:szCs w:val="24"/>
          <w:lang w:eastAsia="zh-CN"/>
        </w:rPr>
        <w:t>ниска дългова тежест.</w:t>
      </w:r>
    </w:p>
    <w:p w14:paraId="0946F883" w14:textId="77777777" w:rsidR="00F55B06" w:rsidRPr="00E81A6E" w:rsidRDefault="00F55B06" w:rsidP="00F55B06">
      <w:pPr>
        <w:spacing w:after="0" w:line="240" w:lineRule="auto"/>
        <w:ind w:firstLine="720"/>
        <w:contextualSpacing/>
        <w:jc w:val="both"/>
        <w:rPr>
          <w:rFonts w:ascii="Times New Roman" w:hAnsi="Times New Roman" w:cs="Times New Roman"/>
          <w:bCs/>
          <w:sz w:val="24"/>
          <w:szCs w:val="24"/>
          <w:lang w:val="bg-BG" w:eastAsia="zh-CN"/>
        </w:rPr>
      </w:pPr>
    </w:p>
    <w:p w14:paraId="02B8626E" w14:textId="77777777" w:rsidR="00934BBF" w:rsidRPr="00E81A6E" w:rsidRDefault="00934BBF" w:rsidP="00F55B06">
      <w:pPr>
        <w:pStyle w:val="Heading2"/>
        <w:numPr>
          <w:ilvl w:val="1"/>
          <w:numId w:val="0"/>
        </w:numPr>
        <w:tabs>
          <w:tab w:val="left" w:pos="426"/>
        </w:tabs>
        <w:spacing w:before="0"/>
        <w:ind w:firstLine="720"/>
        <w:contextualSpacing/>
        <w:jc w:val="both"/>
        <w:rPr>
          <w:rFonts w:ascii="Times New Roman" w:hAnsi="Times New Roman" w:cs="Times New Roman"/>
          <w:color w:val="auto"/>
          <w:sz w:val="24"/>
          <w:szCs w:val="24"/>
          <w:lang w:val="bg-BG"/>
        </w:rPr>
      </w:pPr>
      <w:bookmarkStart w:id="17" w:name="_Toc61971762"/>
      <w:r w:rsidRPr="00E81A6E">
        <w:rPr>
          <w:rFonts w:ascii="Times New Roman" w:hAnsi="Times New Roman" w:cs="Times New Roman"/>
          <w:color w:val="auto"/>
          <w:sz w:val="24"/>
          <w:szCs w:val="24"/>
        </w:rPr>
        <w:t xml:space="preserve">ПРЕГЛЕД НА РАЗВИТИЕТО НА </w:t>
      </w:r>
      <w:r w:rsidRPr="00E81A6E">
        <w:rPr>
          <w:rFonts w:ascii="Times New Roman" w:hAnsi="Times New Roman" w:cs="Times New Roman"/>
          <w:color w:val="auto"/>
          <w:sz w:val="24"/>
          <w:szCs w:val="24"/>
          <w:lang w:val="bg-BG"/>
        </w:rPr>
        <w:t>ИКОНОМИКАТА НА СОФИЯ</w:t>
      </w:r>
      <w:bookmarkEnd w:id="17"/>
    </w:p>
    <w:p w14:paraId="76A4C935" w14:textId="77777777" w:rsidR="00F55B06" w:rsidRPr="00E81A6E" w:rsidRDefault="00F55B06" w:rsidP="00F55B06">
      <w:pPr>
        <w:pStyle w:val="Heading2"/>
        <w:numPr>
          <w:ilvl w:val="1"/>
          <w:numId w:val="0"/>
        </w:numPr>
        <w:tabs>
          <w:tab w:val="left" w:pos="426"/>
        </w:tabs>
        <w:spacing w:before="0"/>
        <w:ind w:firstLine="720"/>
        <w:contextualSpacing/>
        <w:jc w:val="both"/>
        <w:rPr>
          <w:rFonts w:ascii="Times New Roman" w:hAnsi="Times New Roman" w:cs="Times New Roman"/>
          <w:b/>
          <w:bCs/>
          <w:color w:val="auto"/>
          <w:sz w:val="24"/>
          <w:szCs w:val="24"/>
          <w:lang w:val="bg-BG"/>
        </w:rPr>
      </w:pPr>
      <w:bookmarkStart w:id="18" w:name="_Toc61971763"/>
    </w:p>
    <w:p w14:paraId="2AC7FFC0" w14:textId="77777777" w:rsidR="00934BBF" w:rsidRPr="00E81A6E" w:rsidRDefault="00934BBF" w:rsidP="00F55B06">
      <w:pPr>
        <w:pStyle w:val="Heading2"/>
        <w:numPr>
          <w:ilvl w:val="1"/>
          <w:numId w:val="0"/>
        </w:numPr>
        <w:tabs>
          <w:tab w:val="left" w:pos="426"/>
        </w:tabs>
        <w:spacing w:before="0"/>
        <w:ind w:firstLine="720"/>
        <w:contextualSpacing/>
        <w:jc w:val="both"/>
        <w:rPr>
          <w:rFonts w:ascii="Times New Roman" w:hAnsi="Times New Roman" w:cs="Times New Roman"/>
          <w:color w:val="auto"/>
          <w:sz w:val="24"/>
          <w:szCs w:val="24"/>
        </w:rPr>
      </w:pPr>
      <w:r w:rsidRPr="00E81A6E">
        <w:rPr>
          <w:rFonts w:ascii="Times New Roman" w:hAnsi="Times New Roman" w:cs="Times New Roman"/>
          <w:b/>
          <w:bCs/>
          <w:color w:val="auto"/>
          <w:sz w:val="24"/>
          <w:szCs w:val="24"/>
          <w:lang w:val="bg-BG"/>
        </w:rPr>
        <w:t>Развитието на София преди пандемията</w:t>
      </w:r>
      <w:bookmarkEnd w:id="18"/>
    </w:p>
    <w:p w14:paraId="55AB3F24" w14:textId="77777777" w:rsidR="00934BBF" w:rsidRPr="00E81A6E" w:rsidRDefault="00934BBF"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В навечерието на 2020 г. икономиката на София </w:t>
      </w:r>
      <w:r w:rsidR="00474CFD" w:rsidRPr="00E81A6E">
        <w:rPr>
          <w:rFonts w:ascii="Times New Roman" w:hAnsi="Times New Roman" w:cs="Times New Roman"/>
          <w:sz w:val="24"/>
          <w:szCs w:val="24"/>
          <w:lang w:val="bg-BG"/>
        </w:rPr>
        <w:t>б</w:t>
      </w:r>
      <w:r w:rsidRPr="00E81A6E">
        <w:rPr>
          <w:rFonts w:ascii="Times New Roman" w:hAnsi="Times New Roman" w:cs="Times New Roman"/>
          <w:sz w:val="24"/>
          <w:szCs w:val="24"/>
          <w:lang w:val="bg-BG"/>
        </w:rPr>
        <w:t>е в отлична форма. След години на ускоряващ се растеж и откриване на нови работни места, столичната икономика регистрира рекордни нива на заетост – коефициентът на заетост (15-64 г.) достигна 77% през втората половина на 2019 година. Произведената продукция от нефинансовите предприятия се увеличава с над 10% и достига 75 милиарда лева – близо 40% от продукцията на всички нефинансови предприятия в България. Много силен ръст беше регистриран във високотехнологичния сектор и бизнес услугите – продукцията в информационните и комуникационните технологии, в професионалните дейности и научните изследвания нараства с близо 2,5 милиарда лева (16% ръст) през 2019 г.</w:t>
      </w:r>
    </w:p>
    <w:p w14:paraId="25A2327A" w14:textId="77777777" w:rsidR="00474CFD" w:rsidRPr="00E81A6E" w:rsidRDefault="00474CF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p>
    <w:p w14:paraId="5A774976" w14:textId="77777777" w:rsidR="00934BBF" w:rsidRPr="00E81A6E" w:rsidRDefault="00934BBF"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Икономиката на София е силно доминирана от услугите – над 50% от брутната добавена стойност в сектора на услугите в страната е концентрирана в столицата. Делът на столицата е особено висок в някои от най-динамичните и бързи растящи преди кризата сектори - София концентрира продукцията на 88% от ИКТ сектора, 79% от сектора на професионалните дейности и научните изследвания, 67% от административните и спомагателни дейности и 60% от търговията в страната. Всички тези сфери регистрират двуцифрен ръст на продукцията в София през 2019 година.</w:t>
      </w:r>
    </w:p>
    <w:p w14:paraId="2D4A1739" w14:textId="77777777" w:rsidR="00934BBF" w:rsidRPr="00E81A6E" w:rsidRDefault="00934BBF"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Докато в края на 2019 г. и началото на 2020 г. беше модерно да се говори за „синхронизирано забавяне” на световната икономика, София посреща пандемията на върха на икономическия цикъл. Дългосрочният потенциал и траекторията на развитие на София стъпва на притока на млади и активни хора, бурното развитие на индустрията в широката периферия на града, отчетливия ръст в дигиталната сфера и разрастващата се иновационна екосистема.</w:t>
      </w:r>
    </w:p>
    <w:p w14:paraId="0E69BA01" w14:textId="77777777" w:rsidR="004F0B8E" w:rsidRPr="00E81A6E" w:rsidRDefault="004F0B8E"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След бърз</w:t>
      </w:r>
      <w:r w:rsidR="007F411E" w:rsidRPr="00E81A6E">
        <w:rPr>
          <w:rFonts w:ascii="Times New Roman" w:hAnsi="Times New Roman" w:cs="Times New Roman"/>
          <w:sz w:val="24"/>
          <w:szCs w:val="24"/>
          <w:lang w:val="bg-BG"/>
        </w:rPr>
        <w:t>ия</w:t>
      </w:r>
      <w:r w:rsidRPr="00E81A6E">
        <w:rPr>
          <w:rFonts w:ascii="Times New Roman" w:hAnsi="Times New Roman" w:cs="Times New Roman"/>
          <w:sz w:val="24"/>
          <w:szCs w:val="24"/>
          <w:lang w:val="bg-BG"/>
        </w:rPr>
        <w:t xml:space="preserve"> ръст </w:t>
      </w:r>
      <w:r w:rsidR="007F411E" w:rsidRPr="00E81A6E">
        <w:rPr>
          <w:rFonts w:ascii="Times New Roman" w:hAnsi="Times New Roman" w:cs="Times New Roman"/>
          <w:sz w:val="24"/>
          <w:szCs w:val="24"/>
          <w:lang w:val="bg-BG"/>
        </w:rPr>
        <w:t xml:space="preserve">в </w:t>
      </w:r>
      <w:r w:rsidRPr="00E81A6E">
        <w:rPr>
          <w:rFonts w:ascii="Times New Roman" w:hAnsi="Times New Roman" w:cs="Times New Roman"/>
          <w:sz w:val="24"/>
          <w:szCs w:val="24"/>
          <w:lang w:val="bg-BG"/>
        </w:rPr>
        <w:t xml:space="preserve">периода между 2014 и 2019 г. и свързаните с него рекордно висока заетост и ниска безработица, </w:t>
      </w:r>
      <w:r w:rsidRPr="00E81A6E">
        <w:rPr>
          <w:rFonts w:ascii="Times New Roman" w:hAnsi="Times New Roman" w:cs="Times New Roman"/>
          <w:b/>
          <w:sz w:val="24"/>
          <w:szCs w:val="24"/>
          <w:lang w:val="bg-BG"/>
        </w:rPr>
        <w:t xml:space="preserve">икономиката на София е изправена пред значително забавяне през 2020 г., </w:t>
      </w:r>
      <w:r w:rsidRPr="00E81A6E">
        <w:rPr>
          <w:rFonts w:ascii="Times New Roman" w:hAnsi="Times New Roman" w:cs="Times New Roman"/>
          <w:sz w:val="24"/>
          <w:szCs w:val="24"/>
          <w:lang w:val="bg-BG"/>
        </w:rPr>
        <w:t>вследствие на епидемията от коронавирус, мерките за нейното ограничаване, повишаването на икономическата несигурност и сходна криза в основните търговски партньори на страната. Ударът върху икономиката на София остава концентриран в директно засегнатите от ограничителните мерки сектори – свързани с всекидневния градски живот.</w:t>
      </w:r>
    </w:p>
    <w:p w14:paraId="0911791B"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lastRenderedPageBreak/>
        <w:t xml:space="preserve">COVID-19 нанесе безпрецедентен удар по българската икономика. Обявеното извънредно положение на 13 март 2020 г. маркира началото на икономическата криза в България. Рязкото свиване на стопанската активност се усети във всички региони на страната, като само в рамките на два месеца над 100 хил. души изгубиха своята работа. София, която е най-големият и жизнен икономически център, не е изключение. Стопирането на градския живот и пълният отлив на туристи показаха столицата в непозната светлина, която рязко контрастира на икономическия подем от последните години. </w:t>
      </w:r>
      <w:r w:rsidRPr="00E81A6E">
        <w:rPr>
          <w:rFonts w:ascii="Times New Roman" w:hAnsi="Times New Roman" w:cs="Times New Roman"/>
          <w:b/>
          <w:sz w:val="24"/>
          <w:szCs w:val="24"/>
          <w:lang w:val="bg-BG"/>
        </w:rPr>
        <w:t xml:space="preserve">В края на 2020 г., макар пандемията </w:t>
      </w:r>
      <w:r w:rsidR="00D12CC2" w:rsidRPr="00E81A6E">
        <w:rPr>
          <w:rFonts w:ascii="Times New Roman" w:hAnsi="Times New Roman" w:cs="Times New Roman"/>
          <w:b/>
          <w:sz w:val="24"/>
          <w:szCs w:val="24"/>
          <w:lang w:val="bg-BG"/>
        </w:rPr>
        <w:t xml:space="preserve">все още </w:t>
      </w:r>
      <w:r w:rsidR="005E761B" w:rsidRPr="00E81A6E">
        <w:rPr>
          <w:rFonts w:ascii="Times New Roman" w:hAnsi="Times New Roman" w:cs="Times New Roman"/>
          <w:b/>
          <w:sz w:val="24"/>
          <w:szCs w:val="24"/>
          <w:lang w:val="bg-BG"/>
        </w:rPr>
        <w:t>продъжава</w:t>
      </w:r>
      <w:r w:rsidRPr="00E81A6E">
        <w:rPr>
          <w:rFonts w:ascii="Times New Roman" w:hAnsi="Times New Roman" w:cs="Times New Roman"/>
          <w:b/>
          <w:sz w:val="24"/>
          <w:szCs w:val="24"/>
          <w:lang w:val="bg-BG"/>
        </w:rPr>
        <w:t>, наред с оценката на влиянието на коронавируса, на преден план излизат перспективите пред възстановяването и развитието на София.</w:t>
      </w:r>
    </w:p>
    <w:p w14:paraId="7E5FB1E2" w14:textId="77777777" w:rsidR="00127DED" w:rsidRPr="00E81A6E" w:rsidRDefault="00722A07"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Е</w:t>
      </w:r>
      <w:r w:rsidR="00127DED" w:rsidRPr="00E81A6E">
        <w:rPr>
          <w:rFonts w:ascii="Times New Roman" w:hAnsi="Times New Roman" w:cs="Times New Roman"/>
          <w:sz w:val="24"/>
          <w:szCs w:val="24"/>
          <w:lang w:val="bg-BG"/>
        </w:rPr>
        <w:t xml:space="preserve">фектите от пандемията върху столичната икономика </w:t>
      </w:r>
      <w:r w:rsidRPr="00E81A6E">
        <w:rPr>
          <w:rFonts w:ascii="Times New Roman" w:hAnsi="Times New Roman" w:cs="Times New Roman"/>
          <w:sz w:val="24"/>
          <w:szCs w:val="24"/>
          <w:lang w:val="bg-BG"/>
        </w:rPr>
        <w:t xml:space="preserve">следва да се изследват, </w:t>
      </w:r>
      <w:r w:rsidR="00127DED" w:rsidRPr="00E81A6E">
        <w:rPr>
          <w:rFonts w:ascii="Times New Roman" w:hAnsi="Times New Roman" w:cs="Times New Roman"/>
          <w:sz w:val="24"/>
          <w:szCs w:val="24"/>
          <w:lang w:val="bg-BG"/>
        </w:rPr>
        <w:t xml:space="preserve">като </w:t>
      </w:r>
      <w:r w:rsidRPr="00E81A6E">
        <w:rPr>
          <w:rFonts w:ascii="Times New Roman" w:hAnsi="Times New Roman" w:cs="Times New Roman"/>
          <w:sz w:val="24"/>
          <w:szCs w:val="24"/>
          <w:lang w:val="bg-BG"/>
        </w:rPr>
        <w:t xml:space="preserve">се </w:t>
      </w:r>
      <w:r w:rsidR="00127DED" w:rsidRPr="00E81A6E">
        <w:rPr>
          <w:rFonts w:ascii="Times New Roman" w:hAnsi="Times New Roman" w:cs="Times New Roman"/>
          <w:sz w:val="24"/>
          <w:szCs w:val="24"/>
          <w:lang w:val="bg-BG"/>
        </w:rPr>
        <w:t>взем</w:t>
      </w:r>
      <w:r w:rsidRPr="00E81A6E">
        <w:rPr>
          <w:rFonts w:ascii="Times New Roman" w:hAnsi="Times New Roman" w:cs="Times New Roman"/>
          <w:sz w:val="24"/>
          <w:szCs w:val="24"/>
          <w:lang w:val="bg-BG"/>
        </w:rPr>
        <w:t>е</w:t>
      </w:r>
      <w:r w:rsidR="00127DED" w:rsidRPr="00E81A6E">
        <w:rPr>
          <w:rFonts w:ascii="Times New Roman" w:hAnsi="Times New Roman" w:cs="Times New Roman"/>
          <w:sz w:val="24"/>
          <w:szCs w:val="24"/>
          <w:lang w:val="bg-BG"/>
        </w:rPr>
        <w:t xml:space="preserve"> под внимание и </w:t>
      </w:r>
      <w:r w:rsidR="00127DED" w:rsidRPr="00E81A6E">
        <w:rPr>
          <w:rFonts w:ascii="Times New Roman" w:hAnsi="Times New Roman" w:cs="Times New Roman"/>
          <w:b/>
          <w:sz w:val="24"/>
          <w:szCs w:val="24"/>
          <w:lang w:val="bg-BG"/>
        </w:rPr>
        <w:t>втория частичен локдаун</w:t>
      </w:r>
      <w:r w:rsidR="00127DED" w:rsidRPr="00E81A6E">
        <w:rPr>
          <w:rFonts w:ascii="Times New Roman" w:hAnsi="Times New Roman" w:cs="Times New Roman"/>
          <w:sz w:val="24"/>
          <w:szCs w:val="24"/>
          <w:lang w:val="bg-BG"/>
        </w:rPr>
        <w:t xml:space="preserve"> през декември 2020 година. Фокусът е върху дългосрочния потенциал на София и секторите, които продължават да дърпат столичната икономиката напред или имат възможността максимално бързо да се върнат към траекторията на растеж. Дългосрочният тренд на трансформация на икономиката на София се запазва въпреки пандемията. Отчетливите конкурентни предимства на столицата предполагат както устойчива тенденция на ръст в дигиталната сфера, в т.ч. навлизане на нови компании и разрастване на иновационната екосистема, така и разгръщане на потенциала за привличане на индустриални инвестиции в широката периферия на града и развитие на високотехнологични производства.</w:t>
      </w:r>
    </w:p>
    <w:p w14:paraId="38382A55"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Коронавирусът нанесе своя удар върху динамиката в столицата, но по всичко личи, че положителната дългосрочната перспектива пред София остава непроменена и в края на 2020 година.</w:t>
      </w:r>
    </w:p>
    <w:p w14:paraId="5DBCC2D6" w14:textId="77777777" w:rsidR="00F55B06" w:rsidRPr="00E81A6E" w:rsidRDefault="00F55B06" w:rsidP="00F55B06">
      <w:pPr>
        <w:spacing w:after="0" w:line="240" w:lineRule="auto"/>
        <w:ind w:firstLine="720"/>
        <w:contextualSpacing/>
        <w:jc w:val="both"/>
        <w:rPr>
          <w:rFonts w:ascii="Times New Roman" w:hAnsi="Times New Roman" w:cs="Times New Roman"/>
          <w:sz w:val="24"/>
          <w:szCs w:val="24"/>
          <w:lang w:val="bg-BG"/>
        </w:rPr>
      </w:pPr>
    </w:p>
    <w:p w14:paraId="2D8B8248"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COVID-19 и ограничителните мерки за борба с вируса доведоха до значителни изменения в макроикономическата среда на София</w:t>
      </w:r>
      <w:r w:rsidR="009235C8" w:rsidRPr="00E81A6E">
        <w:rPr>
          <w:rFonts w:ascii="Times New Roman" w:hAnsi="Times New Roman" w:cs="Times New Roman"/>
          <w:sz w:val="24"/>
          <w:szCs w:val="24"/>
          <w:lang w:val="bg-BG"/>
        </w:rPr>
        <w:t>.</w:t>
      </w:r>
      <w:r w:rsidR="00CF286C">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Те са резултат от наложените мерки за социално дистанциране, влошаването на международната конюнктура и промяната в поведението на бизнес и домакинства в условията на пандемия. Проследяването на развитието на макро индикаторите през годината позволява да се откроят негативните ефекти от пандемията и перспективите за икономическо възстановяване.</w:t>
      </w:r>
    </w:p>
    <w:p w14:paraId="5C11C544" w14:textId="77777777" w:rsidR="00127DED" w:rsidRPr="00E81A6E" w:rsidRDefault="00127DED" w:rsidP="00882664">
      <w:pPr>
        <w:spacing w:after="0" w:line="240" w:lineRule="auto"/>
        <w:contextualSpacing/>
        <w:jc w:val="center"/>
        <w:rPr>
          <w:rFonts w:ascii="Times New Roman" w:hAnsi="Times New Roman" w:cs="Times New Roman"/>
          <w:noProof/>
          <w:sz w:val="24"/>
          <w:szCs w:val="24"/>
          <w:lang w:val="bg-BG"/>
        </w:rPr>
      </w:pPr>
      <w:r w:rsidRPr="00E81A6E">
        <w:rPr>
          <w:rFonts w:ascii="Times New Roman" w:hAnsi="Times New Roman" w:cs="Times New Roman"/>
          <w:noProof/>
          <w:sz w:val="24"/>
          <w:szCs w:val="24"/>
          <w:lang w:val="bg-BG" w:eastAsia="bg-BG"/>
        </w:rPr>
        <w:lastRenderedPageBreak/>
        <w:drawing>
          <wp:inline distT="0" distB="0" distL="0" distR="0" wp14:anchorId="07681EFB" wp14:editId="40793383">
            <wp:extent cx="4500351" cy="38940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7380" cy="3908818"/>
                    </a:xfrm>
                    <a:prstGeom prst="rect">
                      <a:avLst/>
                    </a:prstGeom>
                    <a:noFill/>
                    <a:ln>
                      <a:noFill/>
                    </a:ln>
                  </pic:spPr>
                </pic:pic>
              </a:graphicData>
            </a:graphic>
          </wp:inline>
        </w:drawing>
      </w:r>
    </w:p>
    <w:p w14:paraId="30C9BBFD"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Нарастването на заболеваемостта в края на годината и въведените мерки през декември 2020г. ще дадат своето негативно отражение, но по всичко личи, че ефектът на втория (частичен) локдаун върху икономиката далеч няма да е толкова опустошителен. Водещите сектори на София, които се показаха устойчиви на ограниченията пред стопанската активност и мобилността през пролетта, на този етап не губят заетост и имат потенциал да изведат възстановяването на столичната икономика пред други части на страната.</w:t>
      </w:r>
    </w:p>
    <w:p w14:paraId="463D9D2B" w14:textId="77777777" w:rsidR="00F55B06" w:rsidRPr="00E81A6E" w:rsidRDefault="00F55B06" w:rsidP="00F55B06">
      <w:pPr>
        <w:spacing w:after="0" w:line="240" w:lineRule="auto"/>
        <w:ind w:firstLine="720"/>
        <w:contextualSpacing/>
        <w:jc w:val="both"/>
        <w:rPr>
          <w:rFonts w:ascii="Times New Roman" w:hAnsi="Times New Roman" w:cs="Times New Roman"/>
          <w:sz w:val="24"/>
          <w:szCs w:val="24"/>
          <w:lang w:val="bg-BG"/>
        </w:rPr>
      </w:pPr>
    </w:p>
    <w:p w14:paraId="44C366AB"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COVID-19 и пазарът на труда в София</w:t>
      </w:r>
    </w:p>
    <w:p w14:paraId="1746851E"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Едно от основните последствия от COVID-19 и ограничителните мерки, свързани с пандемията е рязкото влошаване на условията на пазара на труда, изразяващо се в свиване на заетостта и повишаване на безработицата. Динамиката през 2020 г. в София е до голяма степен предопределена от икономическата структура на столицата и най-вече - от високия дял на наетите в сферата на информационните и комуникационните технологии, както и в разнообразни бизнес услуги, в т.ч. класически професионални дейности и аутсорсинг на бизнес процеси.</w:t>
      </w:r>
    </w:p>
    <w:p w14:paraId="076D7EF5"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Пазарът на труда в София, дори в условията на пандемия и безпрецедентна криза, се доказа като гъвкав и устойчив на външни шокове. По данни на Агенция по заетостта между началото на февруари и края на ноември 2020 г. в София са регистрирани общо 42 хиляди нови безработни, а постъпилите на работа за същия период са 24 хиляди при общ брой на наетите лица през 2019 г. от над 750 хиляди. Почти всички загубени работни места са в периода на извънредното положение (13 март - 13 май 2020 г.), когато в страната са въведени най-строгите ограничителни мерки. След пролетта на 2020 г. се наблюдава спад в броя на безработните.</w:t>
      </w:r>
    </w:p>
    <w:p w14:paraId="0EAC332E"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 xml:space="preserve">Голяма част от изгубените работни места в кризата са в секторите, които са директно засегнати от карантинните мерки - основно в хотели и ресторанти, както и в търговията. </w:t>
      </w:r>
    </w:p>
    <w:p w14:paraId="7F342BB2"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lastRenderedPageBreak/>
        <w:t xml:space="preserve">Седмичните и дневните данни за пазара на труда в София показват, че негативният ефект на декемврийския локдаун е далеч по-лек в сравнение с удара през пролетта на 2020 година. Около 1 300 са загубените работни места в първите две седмици на декември, а към средата на месеца вече се наблюдава успокоение на потока към бюрата по труда. Ефектът на втория локдаун отново е концентриран в туристическия и развлекателния бранш, чието възстановяване пряко зависи </w:t>
      </w:r>
      <w:r w:rsidR="00A33854" w:rsidRPr="00E81A6E">
        <w:rPr>
          <w:rFonts w:ascii="Times New Roman" w:hAnsi="Times New Roman" w:cs="Times New Roman"/>
          <w:sz w:val="24"/>
          <w:szCs w:val="24"/>
          <w:lang w:val="bg-BG"/>
        </w:rPr>
        <w:t>от</w:t>
      </w:r>
      <w:r w:rsidRPr="00E81A6E">
        <w:rPr>
          <w:rFonts w:ascii="Times New Roman" w:hAnsi="Times New Roman" w:cs="Times New Roman"/>
          <w:sz w:val="24"/>
          <w:szCs w:val="24"/>
          <w:lang w:val="bg-BG"/>
        </w:rPr>
        <w:t xml:space="preserve"> пълното освобождава</w:t>
      </w:r>
      <w:r w:rsidR="00447BFD" w:rsidRPr="00E81A6E">
        <w:rPr>
          <w:rFonts w:ascii="Times New Roman" w:hAnsi="Times New Roman" w:cs="Times New Roman"/>
          <w:sz w:val="24"/>
          <w:szCs w:val="24"/>
          <w:lang w:val="bg-BG"/>
        </w:rPr>
        <w:t>не на мерките през 2021 година.</w:t>
      </w:r>
    </w:p>
    <w:p w14:paraId="0F7D5084"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Детайлните данни от бюрата по труда позволяват да се направи сравнение между отделните райони на столицата от гледна точка на динамиката на пазара на труда. Няма нито един район</w:t>
      </w:r>
      <w:r w:rsidR="00D12CC2" w:rsidRPr="00E81A6E">
        <w:rPr>
          <w:rFonts w:ascii="Times New Roman" w:hAnsi="Times New Roman" w:cs="Times New Roman"/>
          <w:sz w:val="24"/>
          <w:szCs w:val="24"/>
          <w:lang w:val="bg-BG"/>
        </w:rPr>
        <w:t>,</w:t>
      </w:r>
      <w:r w:rsidRPr="00E81A6E">
        <w:rPr>
          <w:rFonts w:ascii="Times New Roman" w:hAnsi="Times New Roman" w:cs="Times New Roman"/>
          <w:sz w:val="24"/>
          <w:szCs w:val="24"/>
          <w:lang w:val="bg-BG"/>
        </w:rPr>
        <w:t xml:space="preserve"> при който безработицата в пика на кризата към края на май да е била под нивото от предкризисния февруари; също така няма и нито един, при който равнището ѝ през октомври дори да се приближава до това отпреди въвеждането на ограниченията. Най-тежкият удар върху местните пазари на труда в периода на ограниченията се наблюдават във Връбница (+3,6 пр.п ръст на коефициента на безработица между месеците февруари и май), Красна поляна (+3,3 пр.п.) и Люлин (+3,3 пр.п.), а в почти всички райони краткосрочният ръст е между 2 и 3 процентни пункта.</w:t>
      </w:r>
    </w:p>
    <w:p w14:paraId="55868D60"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Същите райони са и с най-голям ръст в периода между месеците февруари и октомври, но има няколко, при които възстановяването е почти пълно – например разликата между февруари и октомври в районите Изгрев и Студентски е едва 1%. Сходно е разпределението на новопостъпилите на работа като тук се открояват районите Подуяне, Надежда, Възраждане, Младост и Красно село. Броят на постъпили</w:t>
      </w:r>
      <w:r w:rsidR="00A33854" w:rsidRPr="00E81A6E">
        <w:rPr>
          <w:rFonts w:ascii="Times New Roman" w:hAnsi="Times New Roman" w:cs="Times New Roman"/>
          <w:sz w:val="24"/>
          <w:szCs w:val="24"/>
          <w:lang w:val="bg-BG"/>
        </w:rPr>
        <w:t>те</w:t>
      </w:r>
      <w:r w:rsidRPr="00E81A6E">
        <w:rPr>
          <w:rFonts w:ascii="Times New Roman" w:hAnsi="Times New Roman" w:cs="Times New Roman"/>
          <w:sz w:val="24"/>
          <w:szCs w:val="24"/>
          <w:lang w:val="bg-BG"/>
        </w:rPr>
        <w:t xml:space="preserve"> на работа расте след кризата на практика във всички райони, което показва и оживлението след първата вълна на коронавируса. Трябва да се има предвид, че данните от бюрата по труда отразяват по-скоро местоживеенето, а не местоработата на новорегистрираните безработни или започналите работа лица. От гледна точка на компаниите и търсенето на работна сила</w:t>
      </w:r>
      <w:r w:rsidR="00A33854" w:rsidRPr="00E81A6E">
        <w:rPr>
          <w:rFonts w:ascii="Times New Roman" w:hAnsi="Times New Roman" w:cs="Times New Roman"/>
          <w:sz w:val="24"/>
          <w:szCs w:val="24"/>
          <w:lang w:val="bg-BG"/>
        </w:rPr>
        <w:t>,</w:t>
      </w:r>
      <w:r w:rsidRPr="00E81A6E">
        <w:rPr>
          <w:rFonts w:ascii="Times New Roman" w:hAnsi="Times New Roman" w:cs="Times New Roman"/>
          <w:sz w:val="24"/>
          <w:szCs w:val="24"/>
          <w:lang w:val="bg-BG"/>
        </w:rPr>
        <w:t xml:space="preserve"> най-динамичните райони на София – начело с Младост, в който се фокусират новите модерни офис сгради и множеството дигитални компании, продължават да създават работни места и да отбелязва растеж.</w:t>
      </w:r>
    </w:p>
    <w:p w14:paraId="25EA8946" w14:textId="77777777" w:rsidR="00127DED" w:rsidRPr="00E81A6E" w:rsidRDefault="00127DED" w:rsidP="00882664">
      <w:pPr>
        <w:spacing w:after="0" w:line="240" w:lineRule="auto"/>
        <w:contextualSpacing/>
        <w:jc w:val="center"/>
        <w:rPr>
          <w:rFonts w:ascii="Times New Roman" w:hAnsi="Times New Roman" w:cs="Times New Roman"/>
          <w:noProof/>
          <w:sz w:val="24"/>
          <w:szCs w:val="24"/>
          <w:lang w:val="bg-BG"/>
        </w:rPr>
      </w:pPr>
      <w:r w:rsidRPr="00E81A6E">
        <w:rPr>
          <w:rFonts w:ascii="Times New Roman" w:hAnsi="Times New Roman" w:cs="Times New Roman"/>
          <w:noProof/>
          <w:sz w:val="24"/>
          <w:szCs w:val="24"/>
          <w:lang w:val="bg-BG" w:eastAsia="bg-BG"/>
        </w:rPr>
        <w:lastRenderedPageBreak/>
        <w:drawing>
          <wp:inline distT="0" distB="0" distL="0" distR="0" wp14:anchorId="04BA0881" wp14:editId="6FE4DD28">
            <wp:extent cx="5659821" cy="546123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0366" cy="5461757"/>
                    </a:xfrm>
                    <a:prstGeom prst="rect">
                      <a:avLst/>
                    </a:prstGeom>
                    <a:noFill/>
                    <a:ln>
                      <a:noFill/>
                    </a:ln>
                  </pic:spPr>
                </pic:pic>
              </a:graphicData>
            </a:graphic>
          </wp:inline>
        </w:drawing>
      </w:r>
    </w:p>
    <w:p w14:paraId="31A0FD66"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Динамиката на заплатите в хода на кризата до голяма степен следва тази на безработицата – в пика на кризата има леко задържане, последвано от ръст след премахването на ограниченията. В този смисъл няма причини да се твърди, че кризата се е отразила силно негативно на доходите на работещите в София. Промяна има при доходите на домакинствата, тъй като заради свиването на заетостта и ръста на безработицата се повишава делът на доходите от пенсии. Промени има и в потреблението – пренасочване към покупки на стоките от първа необходимост за сметка на дрехите и техниката. Дългосрочната тенденция за ръст на доходите и потреблението в София обаче се запазва въпреки пандемията.</w:t>
      </w:r>
    </w:p>
    <w:p w14:paraId="08260A06" w14:textId="77777777" w:rsidR="00127DED" w:rsidRPr="00E81A6E" w:rsidRDefault="00127DED" w:rsidP="00882664">
      <w:pPr>
        <w:spacing w:after="0" w:line="240" w:lineRule="auto"/>
        <w:contextualSpacing/>
        <w:jc w:val="center"/>
        <w:rPr>
          <w:rFonts w:ascii="Times New Roman" w:hAnsi="Times New Roman" w:cs="Times New Roman"/>
          <w:noProof/>
          <w:sz w:val="24"/>
          <w:szCs w:val="24"/>
          <w:lang w:val="bg-BG"/>
        </w:rPr>
      </w:pPr>
      <w:r w:rsidRPr="00E81A6E">
        <w:rPr>
          <w:rFonts w:ascii="Times New Roman" w:hAnsi="Times New Roman" w:cs="Times New Roman"/>
          <w:noProof/>
          <w:sz w:val="24"/>
          <w:szCs w:val="24"/>
          <w:lang w:val="bg-BG" w:eastAsia="bg-BG"/>
        </w:rPr>
        <w:lastRenderedPageBreak/>
        <w:drawing>
          <wp:inline distT="0" distB="0" distL="0" distR="0" wp14:anchorId="3A052C63" wp14:editId="73849852">
            <wp:extent cx="5549463" cy="353410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4944" cy="3537597"/>
                    </a:xfrm>
                    <a:prstGeom prst="rect">
                      <a:avLst/>
                    </a:prstGeom>
                    <a:noFill/>
                    <a:ln>
                      <a:noFill/>
                    </a:ln>
                  </pic:spPr>
                </pic:pic>
              </a:graphicData>
            </a:graphic>
          </wp:inline>
        </w:drawing>
      </w:r>
    </w:p>
    <w:p w14:paraId="365B4519" w14:textId="77777777" w:rsidR="00256E10" w:rsidRDefault="00256E10"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b/>
          <w:bCs/>
          <w:sz w:val="24"/>
          <w:szCs w:val="24"/>
          <w:lang w:val="bg-BG"/>
        </w:rPr>
      </w:pPr>
    </w:p>
    <w:p w14:paraId="66769D68"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COVID-19, туризмът и въздушният транспорт</w:t>
      </w:r>
    </w:p>
    <w:p w14:paraId="6F818A00"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Без съмнение най-сериозно засегнатият икономически отрасъл от настоящата икономическа криза е туризмът, което е резултат от комбинацията от затварянето на заведения и ограниченията за пътуване. В месечните данни от местата за настаняване ясно личи ефектът от въвеждането на ограниченията - докато през месеците януари и февруари в София са пренощували по над 75 хиляди души, повече от половината от тях чужденци, то през следващите три месеца туристическият поток почти изчезва. След отпадането на най-строгите мерки - както в България, така и в останалата част на Европа, откъдето са и повечето посетители на столицата, постепенно се възстановява и туристическия поток, но остава далеч </w:t>
      </w:r>
      <w:r w:rsidR="006278B4" w:rsidRPr="00E81A6E">
        <w:rPr>
          <w:rFonts w:ascii="Times New Roman" w:hAnsi="Times New Roman" w:cs="Times New Roman"/>
          <w:sz w:val="24"/>
          <w:szCs w:val="24"/>
          <w:lang w:val="bg-BG"/>
        </w:rPr>
        <w:t>от равнищата си от 2019 година.</w:t>
      </w:r>
    </w:p>
    <w:p w14:paraId="57981F6E"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Второто тримесечие е период на почти пълно прекратяване на самолетните пътувания в цяла Европа и летище София не прави изключение</w:t>
      </w:r>
      <w:r w:rsidR="00F75C25" w:rsidRPr="00E81A6E">
        <w:rPr>
          <w:rFonts w:ascii="Times New Roman" w:hAnsi="Times New Roman" w:cs="Times New Roman"/>
          <w:sz w:val="24"/>
          <w:szCs w:val="24"/>
          <w:lang w:val="bg-BG"/>
        </w:rPr>
        <w:t>.</w:t>
      </w:r>
    </w:p>
    <w:p w14:paraId="01FA9B80"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 по-общ план възстановяването на туристическата дейност в София вероятно ще отнеме поне няколко години, а тенденциите за пренасяне на немалка част от бизнес срещите онлайн ще потиска връщането на този сегмент до предкризисните му равнища. Тъй като туризмът и свързаните с него дейности не са водещ отрасъл с голяма тежест в общата икономика на столицата, значителните трудности не са определящи за общото ѝ икономическо възстановяване. Постоянният приток на младо и активно население ще продължи да допринася за оживлението в София, въпреки по-бавното възстановяване на туристическите пътувания.</w:t>
      </w:r>
    </w:p>
    <w:p w14:paraId="062C3D7E" w14:textId="77777777" w:rsidR="006278B4" w:rsidRPr="00E81A6E" w:rsidRDefault="006278B4" w:rsidP="00F55B06">
      <w:pPr>
        <w:spacing w:after="0" w:line="240" w:lineRule="auto"/>
        <w:ind w:firstLine="720"/>
        <w:contextualSpacing/>
        <w:jc w:val="both"/>
        <w:rPr>
          <w:rFonts w:ascii="Times New Roman" w:hAnsi="Times New Roman" w:cs="Times New Roman"/>
          <w:sz w:val="24"/>
          <w:szCs w:val="24"/>
          <w:lang w:val="bg-BG"/>
        </w:rPr>
      </w:pPr>
    </w:p>
    <w:p w14:paraId="6A3FC2E5"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COVID-19 и строителният пазар</w:t>
      </w:r>
    </w:p>
    <w:p w14:paraId="2B24BDE6"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В хода на бурния икономически растеж през последните пет години разрастването на бизнеса, повишаването на доходите на домакинствата и улесненият достъп до кредит закономерно водят до значителен ръст на строителната дейност както на офиси, така и на </w:t>
      </w:r>
      <w:r w:rsidRPr="00E81A6E">
        <w:rPr>
          <w:rFonts w:ascii="Times New Roman" w:hAnsi="Times New Roman" w:cs="Times New Roman"/>
          <w:sz w:val="24"/>
          <w:szCs w:val="24"/>
          <w:lang w:val="bg-BG"/>
        </w:rPr>
        <w:lastRenderedPageBreak/>
        <w:t>жилищни сгради. Доколкото през 2019 г. вече се наблюдава известно забавяне в издадените строителни разрешителни и в реално започнатото строителство, кризисната 2020 г. не бележи толкова чувствителен спад в основните индикатори на строителния пазар.</w:t>
      </w:r>
    </w:p>
    <w:p w14:paraId="3B95EEA1" w14:textId="77777777" w:rsidR="006F24EF" w:rsidRPr="00E81A6E" w:rsidRDefault="006F24EF" w:rsidP="00F55B06">
      <w:pPr>
        <w:spacing w:after="0" w:line="240" w:lineRule="auto"/>
        <w:ind w:firstLine="720"/>
        <w:contextualSpacing/>
        <w:jc w:val="both"/>
        <w:rPr>
          <w:rFonts w:ascii="Times New Roman" w:hAnsi="Times New Roman" w:cs="Times New Roman"/>
          <w:sz w:val="24"/>
          <w:szCs w:val="24"/>
          <w:lang w:val="bg-BG"/>
        </w:rPr>
      </w:pPr>
    </w:p>
    <w:p w14:paraId="01F07AAC" w14:textId="77777777" w:rsidR="00127DED" w:rsidRPr="00E81A6E" w:rsidRDefault="00127DED" w:rsidP="00882664">
      <w:pPr>
        <w:spacing w:after="0" w:line="240" w:lineRule="auto"/>
        <w:contextualSpacing/>
        <w:jc w:val="center"/>
        <w:rPr>
          <w:rFonts w:ascii="Times New Roman" w:hAnsi="Times New Roman" w:cs="Times New Roman"/>
          <w:noProof/>
          <w:sz w:val="24"/>
          <w:szCs w:val="24"/>
          <w:lang w:val="bg-BG"/>
        </w:rPr>
      </w:pPr>
      <w:r w:rsidRPr="00E81A6E">
        <w:rPr>
          <w:rFonts w:ascii="Times New Roman" w:hAnsi="Times New Roman" w:cs="Times New Roman"/>
          <w:noProof/>
          <w:sz w:val="24"/>
          <w:szCs w:val="24"/>
          <w:lang w:val="bg-BG" w:eastAsia="bg-BG"/>
        </w:rPr>
        <w:drawing>
          <wp:inline distT="0" distB="0" distL="0" distR="0" wp14:anchorId="40D47122" wp14:editId="3104FC32">
            <wp:extent cx="5531490" cy="34053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5036" cy="3407534"/>
                    </a:xfrm>
                    <a:prstGeom prst="rect">
                      <a:avLst/>
                    </a:prstGeom>
                    <a:noFill/>
                    <a:ln>
                      <a:noFill/>
                    </a:ln>
                  </pic:spPr>
                </pic:pic>
              </a:graphicData>
            </a:graphic>
          </wp:inline>
        </w:drawing>
      </w:r>
    </w:p>
    <w:p w14:paraId="019EC658"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В данните за разрешенията за строеж ясно личи влиянието на ограниченията и свързаното с тях рязко повишаване на икономическата несигурност през второто тримесечие на 2020 година. Спрямо същото тримесечие на предишната година спадът в новоиздадените разрешения за строеж е почти наполовина, но пък през третото тримесечие се наблюдава известно ускоряване в инвестиционните намерения, особено при жилищните сгради. От значение обаче е обстоятелството, че по-значителен спад има при административните, отколкото при жилищните сгради – индикация, че инвеститорите очакват спад в търсенето на офис площи, но не и на жилища.</w:t>
      </w:r>
    </w:p>
    <w:p w14:paraId="432BD7BE" w14:textId="77777777" w:rsidR="007F6BF2"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Краткосрочен индикатор за динамиката на строителния пазар са и вписаните в Агенция по вписванията сделки с недвижими имоти - през второто тримесечие на 2020 г. се отчита спад от 17% на годишна</w:t>
      </w:r>
      <w:r w:rsidR="006278B4" w:rsidRPr="00E81A6E">
        <w:rPr>
          <w:rFonts w:ascii="Times New Roman" w:hAnsi="Times New Roman" w:cs="Times New Roman"/>
          <w:sz w:val="24"/>
          <w:szCs w:val="24"/>
          <w:lang w:val="bg-BG"/>
        </w:rPr>
        <w:t xml:space="preserve"> основа, а през третото – с 9%.</w:t>
      </w:r>
    </w:p>
    <w:p w14:paraId="04006039" w14:textId="77777777" w:rsidR="006F24EF" w:rsidRPr="00E81A6E" w:rsidRDefault="006F24EF" w:rsidP="00F55B06">
      <w:pPr>
        <w:spacing w:after="0" w:line="240" w:lineRule="auto"/>
        <w:ind w:firstLine="720"/>
        <w:contextualSpacing/>
        <w:jc w:val="both"/>
        <w:rPr>
          <w:rFonts w:ascii="Times New Roman" w:hAnsi="Times New Roman" w:cs="Times New Roman"/>
          <w:sz w:val="24"/>
          <w:szCs w:val="24"/>
          <w:lang w:val="bg-BG"/>
        </w:rPr>
      </w:pPr>
    </w:p>
    <w:p w14:paraId="1D782707"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COVID-19 и перспективите пред икономиката на София</w:t>
      </w:r>
    </w:p>
    <w:p w14:paraId="257DF37D"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Всички разгледани дотук индикатори ясно демонстрират, че настоящата икономическа криза засяга неравномерно отделните отрасли на столичната икономика. Прегледът по сектори е ключов, за да се открои потенциалът за развитие след пандемията.</w:t>
      </w:r>
    </w:p>
    <w:p w14:paraId="6BF2C1DF"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Преработваща промишленост: 14% от икономиката на столица</w:t>
      </w:r>
      <w:r w:rsidR="00F75C25" w:rsidRPr="00E81A6E">
        <w:rPr>
          <w:rFonts w:ascii="Times New Roman" w:hAnsi="Times New Roman" w:cs="Times New Roman"/>
          <w:sz w:val="24"/>
          <w:szCs w:val="24"/>
          <w:lang w:val="bg-BG"/>
        </w:rPr>
        <w:t xml:space="preserve">та и 62 хиляди наети в сектора. </w:t>
      </w:r>
      <w:r w:rsidRPr="00E81A6E">
        <w:rPr>
          <w:rFonts w:ascii="Times New Roman" w:hAnsi="Times New Roman" w:cs="Times New Roman"/>
          <w:sz w:val="24"/>
          <w:szCs w:val="24"/>
          <w:lang w:val="bg-BG"/>
        </w:rPr>
        <w:t>Най-динамичният сектор в преработващата промишленост на столицата е производството на компютърна и комуникационна техника, електронни и оптични продукти, чиято продукция се е удвоила в периода 2013-2018 г. Важна роля играе и производството на лекарства, което е сред малкото индустриални дейности, които бележат ръст в хода на кризата.</w:t>
      </w:r>
    </w:p>
    <w:p w14:paraId="5B048271"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lastRenderedPageBreak/>
        <w:t xml:space="preserve">Промишлеността в София се възстановява след удара на пандемията и ограничителните мерки през пролетта, а съдейки по динамиката на търговските потоци, новите ограничителни мерки от декември 2020 г. няма да имат същия драматичен ефект върху предприятията. </w:t>
      </w:r>
    </w:p>
    <w:p w14:paraId="570D21C2" w14:textId="77777777" w:rsidR="00127DED"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Търговия и ремонт: най-големият сектор в икономиката на София, с 25% от целия обем на икономиката и над 150 хиляди наети лица. Търговията на дребно е засегната от ограниченията през пролетта, а бъдещата динамика зависи най-вече от запазването на доброто състояние на пазара на труда и доходите на домакинствата. Свитото движение на хора и ограниченията пред някои магазини (тези в търговските центрове, например) водят със себе си промени в потребителските навици и все по-широко застъпване на онлайн търговията за сметка на пазаруването на място.</w:t>
      </w:r>
    </w:p>
    <w:p w14:paraId="2DD50138"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Строителство и операции с недвижими имоти: общо двата сектора формират 14% от икономиката на София и наемат 58 хиляди души. Отлагането на някои инвестиционни решения през 2020 г. ще даде своето отражение, но в дългосрочен план притокът на хора в столицата и икономическото оживление ще провокират строителна активност. Предвидените публични инвестиции също ще подкрепят сектора на строителството.</w:t>
      </w:r>
    </w:p>
    <w:p w14:paraId="5F9C90D7" w14:textId="6B6934E1"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 xml:space="preserve">Транспорт, складиране и пощи: транспортът формира 7% от произведената продукция в столицата и наема 52 хиляди души. При този отрасъл въздействието на кризата е двупосочно - докато въздушният транспорт на практика прекратява дейността си при първата вълна на ограничения и силно я свива при втората, то наземният </w:t>
      </w:r>
      <w:r w:rsidR="00D73469">
        <w:rPr>
          <w:rFonts w:ascii="Times New Roman" w:hAnsi="Times New Roman" w:cs="Times New Roman"/>
          <w:sz w:val="24"/>
          <w:szCs w:val="24"/>
          <w:lang w:val="bg-BG"/>
        </w:rPr>
        <w:t>е по-малко засегнат</w:t>
      </w:r>
      <w:r w:rsidRPr="00E81A6E">
        <w:rPr>
          <w:rFonts w:ascii="Times New Roman" w:hAnsi="Times New Roman" w:cs="Times New Roman"/>
          <w:sz w:val="24"/>
          <w:szCs w:val="24"/>
          <w:lang w:val="bg-BG"/>
        </w:rPr>
        <w:t>, особено при втория локдаун.</w:t>
      </w:r>
    </w:p>
    <w:p w14:paraId="146D7D99"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i/>
          <w:iCs/>
          <w:sz w:val="24"/>
          <w:szCs w:val="24"/>
        </w:rPr>
        <w:t xml:space="preserve">•    </w:t>
      </w:r>
      <w:r w:rsidRPr="00E81A6E">
        <w:rPr>
          <w:rFonts w:ascii="Times New Roman" w:hAnsi="Times New Roman" w:cs="Times New Roman"/>
          <w:sz w:val="24"/>
          <w:szCs w:val="24"/>
          <w:lang w:val="bg-BG"/>
        </w:rPr>
        <w:t>Информационно-комуникационни технологии и далекосъобщения: приблизително 15% от общия размер на икономиката и над 85 хиляди наети лица. Това е най-бързо развиващият се отрасъл на икономиката на София, и заедно с аутсорсинга на услуги, постигат най-висока производителност на труда. Той е и най-слабо засегнатият от пандемията - малък брой фирми бяха принудени да се ползват от схемите за подкрепа за заетост, а повечето успяха бързо да реорганизират работата си към дистанционен труд. Това е и един от малкото сектори на икономиката, който, макар и с чувствително по-бавни темпове, успява да добавя работни места и да създава нова заетост през 2020 г., подпомогнати от принудителната дигитална трансформация на редица традиционни бизнеси в хода на пандемията.</w:t>
      </w:r>
    </w:p>
    <w:p w14:paraId="477802DD" w14:textId="77777777" w:rsidR="00B01437"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 xml:space="preserve">Професионални и административни дейности (аутсорсинг секторът): 12% от размера на икономиката и почти 110 хиляди заети, ако комбинираме двете икономически дейности. За този отрасъл важи до голяма степен казаното за ИКТ сектора, но с необходимото уточнение, че услугите които той предоставя обикновено са тези, които най-често биват елиминирани с цел свиване на разходите на фирмите в период на криза, което създава допълнителна несигурност за фирмите в него. </w:t>
      </w:r>
    </w:p>
    <w:p w14:paraId="6212BF89" w14:textId="77777777" w:rsidR="00127DED" w:rsidRPr="00E81A6E" w:rsidRDefault="00127DED"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 xml:space="preserve">Култура, спорт и развлечения: отрасълът формира 4% от икономиката на София и наема 13 хиляди души. Дейността на сектора практически се прекратява, с някои много малки изключения, с въвеждането на всяка вълна от ограничения. </w:t>
      </w:r>
    </w:p>
    <w:p w14:paraId="044AD027" w14:textId="77777777" w:rsidR="00A613C8" w:rsidRPr="00E81A6E" w:rsidRDefault="00127DE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 xml:space="preserve">Хотелиерство и ресторантьорство: Туристическият сектор съставлява 2% от столичната икономика, но създава относително много работни места - над 33 хиляди. Също като при културата, ограничителните мерки прекратяват почти цялата дейност на хотелите и ресторантите, с изключения на доставките на храна, които в никакъв случай не могат да заместят обичайните приходи. </w:t>
      </w:r>
      <w:bookmarkStart w:id="19" w:name="_Toc409874540"/>
      <w:bookmarkStart w:id="20" w:name="_Toc499639768"/>
      <w:bookmarkStart w:id="21" w:name="_Toc500496064"/>
    </w:p>
    <w:p w14:paraId="4520126D" w14:textId="77777777" w:rsidR="006278B4" w:rsidRPr="00E81A6E" w:rsidRDefault="006278B4" w:rsidP="00F55B06">
      <w:pPr>
        <w:spacing w:after="0" w:line="240" w:lineRule="auto"/>
        <w:ind w:firstLine="720"/>
        <w:contextualSpacing/>
        <w:jc w:val="both"/>
        <w:rPr>
          <w:rFonts w:ascii="Times New Roman" w:hAnsi="Times New Roman" w:cs="Times New Roman"/>
          <w:sz w:val="24"/>
          <w:szCs w:val="24"/>
          <w:lang w:val="bg-BG"/>
        </w:rPr>
      </w:pPr>
    </w:p>
    <w:p w14:paraId="7A6FCA84" w14:textId="77777777" w:rsidR="006F5B92" w:rsidRPr="00E81A6E" w:rsidRDefault="006F5B92" w:rsidP="00F55B06">
      <w:pPr>
        <w:pStyle w:val="Heading1"/>
        <w:spacing w:before="0" w:after="0"/>
        <w:ind w:firstLine="720"/>
        <w:contextualSpacing/>
        <w:rPr>
          <w:rStyle w:val="SubtleEmphasis"/>
          <w:rFonts w:ascii="Times New Roman" w:hAnsi="Times New Roman" w:cs="Times New Roman"/>
          <w:color w:val="auto"/>
          <w:sz w:val="24"/>
          <w:szCs w:val="24"/>
          <w:lang w:val="bg-BG"/>
        </w:rPr>
      </w:pPr>
      <w:bookmarkStart w:id="22" w:name="_Toc61971764"/>
      <w:r w:rsidRPr="00E81A6E">
        <w:rPr>
          <w:rStyle w:val="SubtleEmphasis"/>
          <w:rFonts w:ascii="Times New Roman" w:hAnsi="Times New Roman" w:cs="Times New Roman"/>
          <w:color w:val="auto"/>
          <w:sz w:val="24"/>
          <w:szCs w:val="24"/>
          <w:lang w:val="ru-RU"/>
        </w:rPr>
        <w:lastRenderedPageBreak/>
        <w:t>ИЗПЪЛНЕНИЕ НА БЮДЖЕТ 20</w:t>
      </w:r>
      <w:r w:rsidR="00FD1B76" w:rsidRPr="00E81A6E">
        <w:rPr>
          <w:rStyle w:val="SubtleEmphasis"/>
          <w:rFonts w:ascii="Times New Roman" w:hAnsi="Times New Roman" w:cs="Times New Roman"/>
          <w:color w:val="auto"/>
          <w:sz w:val="24"/>
          <w:szCs w:val="24"/>
          <w:lang w:val="ru-RU"/>
        </w:rPr>
        <w:t>20</w:t>
      </w:r>
      <w:r w:rsidR="00AC52E9" w:rsidRPr="00E81A6E">
        <w:rPr>
          <w:rStyle w:val="SubtleEmphasis"/>
          <w:rFonts w:ascii="Times New Roman" w:hAnsi="Times New Roman" w:cs="Times New Roman"/>
          <w:color w:val="auto"/>
          <w:sz w:val="24"/>
          <w:szCs w:val="24"/>
          <w:lang w:val="bg-BG"/>
        </w:rPr>
        <w:t>г.</w:t>
      </w:r>
      <w:bookmarkEnd w:id="22"/>
    </w:p>
    <w:p w14:paraId="2DB931E0" w14:textId="77777777" w:rsidR="00227C99" w:rsidRPr="00E81A6E" w:rsidRDefault="00333A38"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Коронавирусът донесе безпрецедентен спад в икономиката на страната особено </w:t>
      </w:r>
      <w:r w:rsidR="00A62072" w:rsidRPr="00E81A6E">
        <w:rPr>
          <w:rFonts w:ascii="Times New Roman" w:hAnsi="Times New Roman" w:cs="Times New Roman"/>
          <w:sz w:val="24"/>
          <w:szCs w:val="24"/>
          <w:lang w:val="bg-BG"/>
        </w:rPr>
        <w:t>през второто тримесечие на 2020</w:t>
      </w:r>
      <w:r w:rsidRPr="00E81A6E">
        <w:rPr>
          <w:rFonts w:ascii="Times New Roman" w:hAnsi="Times New Roman" w:cs="Times New Roman"/>
          <w:sz w:val="24"/>
          <w:szCs w:val="24"/>
          <w:lang w:val="bg-BG"/>
        </w:rPr>
        <w:t>г.</w:t>
      </w:r>
      <w:r w:rsidR="004C4A65" w:rsidRPr="00E81A6E">
        <w:rPr>
          <w:rFonts w:ascii="Times New Roman" w:hAnsi="Times New Roman" w:cs="Times New Roman"/>
          <w:sz w:val="24"/>
          <w:szCs w:val="24"/>
          <w:lang w:val="bg-BG"/>
        </w:rPr>
        <w:t>,което даде</w:t>
      </w:r>
      <w:r w:rsidR="00A62072" w:rsidRPr="00E81A6E">
        <w:rPr>
          <w:rFonts w:ascii="Times New Roman" w:hAnsi="Times New Roman" w:cs="Times New Roman"/>
          <w:sz w:val="24"/>
          <w:szCs w:val="24"/>
          <w:lang w:val="bg-BG"/>
        </w:rPr>
        <w:t xml:space="preserve"> своето отражение и върху изпълнението на бюджета на Столична община за 2020г. </w:t>
      </w:r>
      <w:r w:rsidRPr="00E81A6E">
        <w:rPr>
          <w:rFonts w:ascii="Times New Roman" w:hAnsi="Times New Roman" w:cs="Times New Roman"/>
          <w:sz w:val="24"/>
          <w:szCs w:val="24"/>
          <w:lang w:val="bg-BG"/>
        </w:rPr>
        <w:t xml:space="preserve">Блокирането на международните пътувания и липсата на чуждестранни туристи, както и тежките ограничения пред обичайния градски живот оказаха негативно влияние върху ключови сектори на столицата – транспорт, хотели и ресторанти, търговия на дребно. Социалните сфери – здравеопазване, образование и социални услуги също понесоха тежък удар, който се пренесе директно или в по-малко приходи (например от такса за детски градини) или в по-високи разходи (например за здравни мерки и социални услуги) в бюджета на Столична община. </w:t>
      </w:r>
    </w:p>
    <w:p w14:paraId="34BB2509" w14:textId="77777777" w:rsidR="00CA21A7" w:rsidRPr="00E81A6E" w:rsidRDefault="00333A38"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Ефектът на коронавируса върху заетостта, туризма, строителната активност и сделкит</w:t>
      </w:r>
      <w:r w:rsidR="00327A59" w:rsidRPr="00E81A6E">
        <w:rPr>
          <w:rFonts w:ascii="Times New Roman" w:hAnsi="Times New Roman" w:cs="Times New Roman"/>
          <w:sz w:val="24"/>
          <w:szCs w:val="24"/>
          <w:lang w:val="bg-BG"/>
        </w:rPr>
        <w:t xml:space="preserve">е с недвижими имоти в столицата </w:t>
      </w:r>
      <w:r w:rsidRPr="00E81A6E">
        <w:rPr>
          <w:rFonts w:ascii="Times New Roman" w:hAnsi="Times New Roman" w:cs="Times New Roman"/>
          <w:sz w:val="24"/>
          <w:szCs w:val="24"/>
          <w:lang w:val="bg-BG"/>
        </w:rPr>
        <w:t>рефлектира върху  приходната част на бюджета на общината</w:t>
      </w:r>
      <w:r w:rsidR="00327A59" w:rsidRPr="00E81A6E">
        <w:rPr>
          <w:rFonts w:ascii="Times New Roman" w:hAnsi="Times New Roman" w:cs="Times New Roman"/>
          <w:sz w:val="24"/>
          <w:szCs w:val="24"/>
          <w:lang w:val="bg-BG"/>
        </w:rPr>
        <w:t>.</w:t>
      </w:r>
      <w:r w:rsidRPr="00E81A6E">
        <w:rPr>
          <w:rFonts w:ascii="Times New Roman" w:hAnsi="Times New Roman" w:cs="Times New Roman"/>
          <w:sz w:val="24"/>
          <w:szCs w:val="24"/>
          <w:lang w:val="bg-BG"/>
        </w:rPr>
        <w:t xml:space="preserve"> </w:t>
      </w:r>
      <w:r w:rsidR="00327A59" w:rsidRPr="00E81A6E">
        <w:rPr>
          <w:rFonts w:ascii="Times New Roman" w:hAnsi="Times New Roman" w:cs="Times New Roman"/>
          <w:sz w:val="24"/>
          <w:szCs w:val="24"/>
          <w:lang w:val="bg-BG"/>
        </w:rPr>
        <w:t>Н</w:t>
      </w:r>
      <w:r w:rsidRPr="00E81A6E">
        <w:rPr>
          <w:rFonts w:ascii="Times New Roman" w:hAnsi="Times New Roman" w:cs="Times New Roman"/>
          <w:sz w:val="24"/>
          <w:szCs w:val="24"/>
          <w:lang w:val="bg-BG"/>
        </w:rPr>
        <w:t xml:space="preserve">аложи </w:t>
      </w:r>
      <w:r w:rsidR="00327A59" w:rsidRPr="00E81A6E">
        <w:rPr>
          <w:rFonts w:ascii="Times New Roman" w:hAnsi="Times New Roman" w:cs="Times New Roman"/>
          <w:sz w:val="24"/>
          <w:szCs w:val="24"/>
          <w:lang w:val="bg-BG"/>
        </w:rPr>
        <w:t xml:space="preserve">се </w:t>
      </w:r>
      <w:r w:rsidRPr="00E81A6E">
        <w:rPr>
          <w:rFonts w:ascii="Times New Roman" w:hAnsi="Times New Roman" w:cs="Times New Roman"/>
          <w:sz w:val="24"/>
          <w:szCs w:val="24"/>
          <w:lang w:val="bg-BG"/>
        </w:rPr>
        <w:t>актуализирането на разчетите по първоначалния бюджет на два пъти</w:t>
      </w:r>
      <w:r w:rsidR="00327A59" w:rsidRPr="00E81A6E">
        <w:rPr>
          <w:rFonts w:ascii="Times New Roman" w:hAnsi="Times New Roman" w:cs="Times New Roman"/>
          <w:sz w:val="24"/>
          <w:szCs w:val="24"/>
          <w:lang w:val="bg-BG"/>
        </w:rPr>
        <w:t xml:space="preserve"> през 2020г</w:t>
      </w:r>
      <w:r w:rsidRPr="00E81A6E">
        <w:rPr>
          <w:rFonts w:ascii="Times New Roman" w:hAnsi="Times New Roman" w:cs="Times New Roman"/>
          <w:sz w:val="24"/>
          <w:szCs w:val="24"/>
          <w:lang w:val="bg-BG"/>
        </w:rPr>
        <w:t>. С първата актуализация от 30 април бяха намалени приходи</w:t>
      </w:r>
      <w:r w:rsidR="009862E4" w:rsidRPr="00E81A6E">
        <w:rPr>
          <w:rFonts w:ascii="Times New Roman" w:hAnsi="Times New Roman" w:cs="Times New Roman"/>
          <w:sz w:val="24"/>
          <w:szCs w:val="24"/>
          <w:lang w:val="bg-BG"/>
        </w:rPr>
        <w:t xml:space="preserve">те </w:t>
      </w:r>
      <w:r w:rsidRPr="00E81A6E">
        <w:rPr>
          <w:rFonts w:ascii="Times New Roman" w:hAnsi="Times New Roman" w:cs="Times New Roman"/>
          <w:sz w:val="24"/>
          <w:szCs w:val="24"/>
          <w:lang w:val="bg-BG"/>
        </w:rPr>
        <w:t xml:space="preserve"> и разходи</w:t>
      </w:r>
      <w:r w:rsidR="009862E4" w:rsidRPr="00E81A6E">
        <w:rPr>
          <w:rFonts w:ascii="Times New Roman" w:hAnsi="Times New Roman" w:cs="Times New Roman"/>
          <w:sz w:val="24"/>
          <w:szCs w:val="24"/>
          <w:lang w:val="bg-BG"/>
        </w:rPr>
        <w:t xml:space="preserve">те с </w:t>
      </w:r>
      <w:r w:rsidR="00290261" w:rsidRPr="00E81A6E">
        <w:rPr>
          <w:rFonts w:ascii="Times New Roman" w:hAnsi="Times New Roman" w:cs="Times New Roman"/>
          <w:sz w:val="24"/>
          <w:szCs w:val="24"/>
          <w:lang w:val="bg-BG"/>
        </w:rPr>
        <w:t>23,6млн.</w:t>
      </w:r>
      <w:r w:rsidR="009862E4" w:rsidRPr="00E81A6E">
        <w:rPr>
          <w:rFonts w:ascii="Times New Roman" w:hAnsi="Times New Roman" w:cs="Times New Roman"/>
          <w:sz w:val="24"/>
          <w:szCs w:val="24"/>
          <w:lang w:val="bg-BG"/>
        </w:rPr>
        <w:t xml:space="preserve">лв., при втората актуализация от </w:t>
      </w:r>
      <w:r w:rsidR="00A62072" w:rsidRPr="00E81A6E">
        <w:rPr>
          <w:rFonts w:ascii="Times New Roman" w:hAnsi="Times New Roman" w:cs="Times New Roman"/>
          <w:sz w:val="24"/>
          <w:szCs w:val="24"/>
          <w:lang w:val="bg-BG"/>
        </w:rPr>
        <w:t>22 октомври</w:t>
      </w:r>
      <w:r w:rsidR="009862E4" w:rsidRPr="00E81A6E">
        <w:rPr>
          <w:rFonts w:ascii="Times New Roman" w:hAnsi="Times New Roman" w:cs="Times New Roman"/>
          <w:sz w:val="24"/>
          <w:szCs w:val="24"/>
          <w:lang w:val="bg-BG"/>
        </w:rPr>
        <w:t>, намалението бе</w:t>
      </w:r>
      <w:r w:rsidR="00327A59" w:rsidRPr="00E81A6E">
        <w:rPr>
          <w:rFonts w:ascii="Times New Roman" w:hAnsi="Times New Roman" w:cs="Times New Roman"/>
          <w:sz w:val="24"/>
          <w:szCs w:val="24"/>
          <w:lang w:val="bg-BG"/>
        </w:rPr>
        <w:t>ш</w:t>
      </w:r>
      <w:r w:rsidR="009862E4" w:rsidRPr="00E81A6E">
        <w:rPr>
          <w:rFonts w:ascii="Times New Roman" w:hAnsi="Times New Roman" w:cs="Times New Roman"/>
          <w:sz w:val="24"/>
          <w:szCs w:val="24"/>
          <w:lang w:val="bg-BG"/>
        </w:rPr>
        <w:t>е в размер на 17,7</w:t>
      </w:r>
      <w:r w:rsidR="00391B11" w:rsidRPr="00E81A6E">
        <w:rPr>
          <w:rFonts w:ascii="Times New Roman" w:hAnsi="Times New Roman" w:cs="Times New Roman"/>
          <w:sz w:val="24"/>
          <w:szCs w:val="24"/>
          <w:lang w:val="bg-BG"/>
        </w:rPr>
        <w:t>млн.</w:t>
      </w:r>
      <w:r w:rsidR="009862E4"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bg-BG"/>
        </w:rPr>
        <w:t xml:space="preserve">  </w:t>
      </w:r>
      <w:r w:rsidR="009862E4" w:rsidRPr="00E81A6E">
        <w:rPr>
          <w:rFonts w:ascii="Times New Roman" w:hAnsi="Times New Roman" w:cs="Times New Roman"/>
          <w:sz w:val="24"/>
          <w:szCs w:val="24"/>
          <w:lang w:val="bg-BG"/>
        </w:rPr>
        <w:t xml:space="preserve">Вторият частичен локдаун от месец декември засегна бюджета на Столична община в по-малка степен, но допринесе за </w:t>
      </w:r>
      <w:r w:rsidR="004048E0" w:rsidRPr="00E81A6E">
        <w:rPr>
          <w:rFonts w:ascii="Times New Roman" w:hAnsi="Times New Roman" w:cs="Times New Roman"/>
          <w:sz w:val="24"/>
          <w:szCs w:val="24"/>
          <w:lang w:val="bg-BG"/>
        </w:rPr>
        <w:t>неизпълнението в годишен аспект.</w:t>
      </w:r>
    </w:p>
    <w:p w14:paraId="0A8888C3" w14:textId="77777777" w:rsidR="00CA21A7" w:rsidRPr="00E81A6E" w:rsidRDefault="00CA21A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От друга страна разнообразната икономика на София, която е доминирана от услугите и в която преобладава работата в офис, беше своеобразен плюс за столицата в условията на извънредното положение, тъй като позволи голяма част от работната сила да премине към дистанционна работа. </w:t>
      </w:r>
    </w:p>
    <w:p w14:paraId="32F3670C" w14:textId="77777777" w:rsidR="00290261" w:rsidRPr="00E81A6E" w:rsidRDefault="00CA21A7"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Бюджетът на Столична община за 2020г., в това число собствените приходи, е приет от Столичен общински съвет с Решение № 42/06.02.2020г.</w:t>
      </w:r>
      <w:r w:rsidR="00333A38" w:rsidRPr="00E81A6E">
        <w:rPr>
          <w:rFonts w:ascii="Times New Roman" w:hAnsi="Times New Roman" w:cs="Times New Roman"/>
          <w:sz w:val="24"/>
          <w:szCs w:val="24"/>
          <w:lang w:val="bg-BG"/>
        </w:rPr>
        <w:t xml:space="preserve"> </w:t>
      </w:r>
    </w:p>
    <w:p w14:paraId="3EC518C4" w14:textId="77777777" w:rsidR="00290261" w:rsidRPr="00E81A6E" w:rsidRDefault="00CA21A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О</w:t>
      </w:r>
      <w:r w:rsidR="00391B11" w:rsidRPr="00E81A6E">
        <w:rPr>
          <w:rFonts w:ascii="Times New Roman" w:hAnsi="Times New Roman" w:cs="Times New Roman"/>
          <w:sz w:val="24"/>
          <w:szCs w:val="24"/>
          <w:lang w:val="bg-BG"/>
        </w:rPr>
        <w:t>т 01.01.2020г.</w:t>
      </w:r>
      <w:r w:rsidRPr="00E81A6E">
        <w:rPr>
          <w:rFonts w:ascii="Times New Roman" w:hAnsi="Times New Roman" w:cs="Times New Roman"/>
          <w:sz w:val="24"/>
          <w:szCs w:val="24"/>
          <w:lang w:val="bg-BG"/>
        </w:rPr>
        <w:t xml:space="preserve"> е в сила нормативна промяна</w:t>
      </w:r>
      <w:r w:rsidR="00391B11" w:rsidRPr="00E81A6E">
        <w:rPr>
          <w:rFonts w:ascii="Times New Roman" w:hAnsi="Times New Roman" w:cs="Times New Roman"/>
          <w:sz w:val="24"/>
          <w:szCs w:val="24"/>
          <w:lang w:val="bg-BG"/>
        </w:rPr>
        <w:t>,</w:t>
      </w:r>
      <w:r w:rsidR="00A62072" w:rsidRPr="00E81A6E">
        <w:rPr>
          <w:rFonts w:ascii="Times New Roman" w:hAnsi="Times New Roman" w:cs="Times New Roman"/>
          <w:sz w:val="24"/>
          <w:szCs w:val="24"/>
          <w:lang w:val="bg-BG"/>
        </w:rPr>
        <w:t xml:space="preserve"> в резултат на която в бюджета бяха</w:t>
      </w:r>
      <w:r w:rsidR="00391B11" w:rsidRPr="00E81A6E">
        <w:rPr>
          <w:rFonts w:ascii="Times New Roman" w:hAnsi="Times New Roman" w:cs="Times New Roman"/>
          <w:sz w:val="24"/>
          <w:szCs w:val="24"/>
          <w:lang w:val="bg-BG"/>
        </w:rPr>
        <w:t xml:space="preserve"> разчетени значително повече данъчни приходи от 2019г., най-вече за данък върху превозните средства и данък върху възмездните сделки и даренията. Амбициозна беше и заложената за изпълнение задача по отношение на данъка върху недвижимите имоти и таксата за битови отпадъци. </w:t>
      </w:r>
      <w:r w:rsidR="00333A38" w:rsidRPr="00E81A6E">
        <w:rPr>
          <w:rFonts w:ascii="Times New Roman" w:hAnsi="Times New Roman" w:cs="Times New Roman"/>
          <w:sz w:val="24"/>
          <w:szCs w:val="24"/>
          <w:lang w:val="bg-BG"/>
        </w:rPr>
        <w:t xml:space="preserve"> </w:t>
      </w:r>
    </w:p>
    <w:p w14:paraId="2A53F624" w14:textId="77777777" w:rsidR="00333A38" w:rsidRPr="00E81A6E" w:rsidRDefault="00290261"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Друг фактор, оказал влияние върху изпълнението на собствените приходи на Столична община за 2020г. са </w:t>
      </w:r>
      <w:r w:rsidR="00333A38"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приетите от Столичен общински съвет пакети от икономически мерки за подпомагане на бизнеса и гражданите, които включват отстъпки в плащането на наеми и тротоарно право</w:t>
      </w:r>
      <w:r w:rsidR="004F2F86" w:rsidRPr="00E81A6E">
        <w:rPr>
          <w:rFonts w:ascii="Times New Roman" w:hAnsi="Times New Roman" w:cs="Times New Roman"/>
          <w:sz w:val="24"/>
          <w:szCs w:val="24"/>
          <w:lang w:val="bg-BG"/>
        </w:rPr>
        <w:t xml:space="preserve">. Отложеното събиране на данъците и такса битови отпадъци от данъчните субекти до 30 юни 2020 г. също оказа своето влияние. </w:t>
      </w:r>
      <w:r w:rsidRPr="00E81A6E">
        <w:rPr>
          <w:rFonts w:ascii="Times New Roman" w:hAnsi="Times New Roman" w:cs="Times New Roman"/>
          <w:sz w:val="24"/>
          <w:szCs w:val="24"/>
          <w:lang w:val="bg-BG"/>
        </w:rPr>
        <w:t>В резултат на тези мерки намаляха приходите по съответните параграфи.</w:t>
      </w:r>
    </w:p>
    <w:p w14:paraId="72167BDF"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639B0E13" w14:textId="77777777" w:rsidR="00D21D6D" w:rsidRPr="00E81A6E" w:rsidRDefault="00D21D6D" w:rsidP="00F55B06">
      <w:pPr>
        <w:pStyle w:val="Heading3"/>
        <w:spacing w:before="0"/>
        <w:ind w:firstLine="720"/>
        <w:contextualSpacing/>
        <w:rPr>
          <w:rFonts w:ascii="Times New Roman" w:hAnsi="Times New Roman" w:cs="Times New Roman"/>
          <w:color w:val="auto"/>
          <w:sz w:val="24"/>
          <w:szCs w:val="24"/>
          <w:lang w:val="ru-RU"/>
        </w:rPr>
      </w:pPr>
      <w:bookmarkStart w:id="23" w:name="_Toc61971765"/>
      <w:r w:rsidRPr="00E81A6E">
        <w:rPr>
          <w:rFonts w:ascii="Times New Roman" w:hAnsi="Times New Roman" w:cs="Times New Roman"/>
          <w:color w:val="auto"/>
          <w:sz w:val="24"/>
          <w:szCs w:val="24"/>
          <w:lang w:val="ru-RU"/>
        </w:rPr>
        <w:t>Бюджет 20</w:t>
      </w:r>
      <w:r w:rsidR="00737117" w:rsidRPr="00E81A6E">
        <w:rPr>
          <w:rFonts w:ascii="Times New Roman" w:hAnsi="Times New Roman" w:cs="Times New Roman"/>
          <w:color w:val="auto"/>
          <w:sz w:val="24"/>
          <w:szCs w:val="24"/>
          <w:lang w:val="ru-RU"/>
        </w:rPr>
        <w:t>20</w:t>
      </w:r>
      <w:r w:rsidRPr="00E81A6E">
        <w:rPr>
          <w:rFonts w:ascii="Times New Roman" w:hAnsi="Times New Roman" w:cs="Times New Roman"/>
          <w:color w:val="auto"/>
          <w:sz w:val="24"/>
          <w:szCs w:val="24"/>
          <w:lang w:val="ru-RU"/>
        </w:rPr>
        <w:t xml:space="preserve"> - Изпълнение на приходите</w:t>
      </w:r>
      <w:bookmarkEnd w:id="23"/>
      <w:r w:rsidRPr="00E81A6E">
        <w:rPr>
          <w:rFonts w:ascii="Times New Roman" w:hAnsi="Times New Roman" w:cs="Times New Roman"/>
          <w:color w:val="auto"/>
          <w:sz w:val="24"/>
          <w:szCs w:val="24"/>
          <w:lang w:val="ru-RU"/>
        </w:rPr>
        <w:t xml:space="preserve"> </w:t>
      </w:r>
    </w:p>
    <w:p w14:paraId="4E77D6AD"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66739AA3"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на собствените приходи на Столична община към 31.12.20</w:t>
      </w:r>
      <w:r w:rsidR="00E3245B"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 по предварителни данни е 9</w:t>
      </w:r>
      <w:r w:rsidR="00E3245B"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w:t>
      </w:r>
      <w:r w:rsidR="00E3245B"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 xml:space="preserve"> на сто. Отчетният им размер възлиза на </w:t>
      </w:r>
      <w:r w:rsidR="00E3245B" w:rsidRPr="00E81A6E">
        <w:rPr>
          <w:rFonts w:ascii="Times New Roman" w:hAnsi="Times New Roman" w:cs="Times New Roman"/>
          <w:sz w:val="24"/>
          <w:szCs w:val="24"/>
          <w:lang w:val="ru-RU"/>
        </w:rPr>
        <w:t>689</w:t>
      </w:r>
      <w:r w:rsidRPr="00E81A6E">
        <w:rPr>
          <w:rFonts w:ascii="Times New Roman" w:hAnsi="Times New Roman" w:cs="Times New Roman"/>
          <w:sz w:val="24"/>
          <w:szCs w:val="24"/>
          <w:lang w:val="ru-RU"/>
        </w:rPr>
        <w:t>,</w:t>
      </w:r>
      <w:r w:rsidR="00E3245B"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млн.лв.</w:t>
      </w:r>
      <w:r w:rsidR="004048E0" w:rsidRPr="00E81A6E">
        <w:rPr>
          <w:rFonts w:ascii="Times New Roman" w:hAnsi="Times New Roman" w:cs="Times New Roman"/>
          <w:sz w:val="24"/>
          <w:szCs w:val="24"/>
          <w:lang w:val="ru-RU"/>
        </w:rPr>
        <w:t xml:space="preserve"> Спрямо 2019 година са събрани с 13 млн.лв. по-малко.</w:t>
      </w:r>
    </w:p>
    <w:p w14:paraId="7C005FB7" w14:textId="77777777" w:rsidR="00D21D6D" w:rsidRPr="00E81A6E" w:rsidRDefault="00D21D6D" w:rsidP="00F55B06">
      <w:pPr>
        <w:pStyle w:val="Heading4"/>
        <w:spacing w:before="0" w:line="240" w:lineRule="auto"/>
        <w:ind w:firstLine="720"/>
        <w:contextualSpacing/>
        <w:jc w:val="both"/>
        <w:rPr>
          <w:rFonts w:ascii="Times New Roman" w:hAnsi="Times New Roman" w:cs="Times New Roman"/>
          <w:color w:val="auto"/>
          <w:lang w:val="ru-RU"/>
        </w:rPr>
      </w:pPr>
      <w:r w:rsidRPr="00E81A6E">
        <w:rPr>
          <w:rFonts w:ascii="Times New Roman" w:hAnsi="Times New Roman" w:cs="Times New Roman"/>
          <w:color w:val="auto"/>
          <w:lang w:val="ru-RU"/>
        </w:rPr>
        <w:t>1. Имуществени данъци и неданъчни приходи</w:t>
      </w:r>
    </w:p>
    <w:p w14:paraId="3564DD07" w14:textId="77777777" w:rsidR="00227C99" w:rsidRPr="00E81A6E" w:rsidRDefault="00227C99" w:rsidP="00F55B06">
      <w:pPr>
        <w:pStyle w:val="Heading5"/>
        <w:spacing w:before="0" w:line="240" w:lineRule="auto"/>
        <w:ind w:firstLine="720"/>
        <w:contextualSpacing/>
        <w:jc w:val="both"/>
        <w:rPr>
          <w:rFonts w:ascii="Times New Roman" w:hAnsi="Times New Roman" w:cs="Times New Roman"/>
          <w:color w:val="auto"/>
          <w:sz w:val="24"/>
          <w:szCs w:val="24"/>
          <w:lang w:val="ru-RU"/>
        </w:rPr>
      </w:pPr>
    </w:p>
    <w:p w14:paraId="79801E98" w14:textId="77777777" w:rsidR="00D21D6D" w:rsidRPr="00E81A6E" w:rsidRDefault="00D21D6D" w:rsidP="00F55B06">
      <w:pPr>
        <w:pStyle w:val="Heading5"/>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1.1 ДАНЪЧНИ ПРИХОДИ </w:t>
      </w:r>
    </w:p>
    <w:p w14:paraId="4322B13E"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24F67376"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От общите постъпления от местни приходи по бюджета на общината към 31.12.20</w:t>
      </w:r>
      <w:r w:rsidR="00FF020C" w:rsidRPr="00E81A6E">
        <w:rPr>
          <w:rFonts w:ascii="Times New Roman" w:hAnsi="Times New Roman" w:cs="Times New Roman"/>
          <w:sz w:val="24"/>
          <w:szCs w:val="24"/>
          <w:lang w:val="ru-RU"/>
        </w:rPr>
        <w:t>20</w:t>
      </w:r>
      <w:r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3</w:t>
      </w:r>
      <w:r w:rsidR="00FF020C" w:rsidRPr="00E81A6E">
        <w:rPr>
          <w:rFonts w:ascii="Times New Roman" w:hAnsi="Times New Roman" w:cs="Times New Roman"/>
          <w:sz w:val="24"/>
          <w:szCs w:val="24"/>
          <w:lang w:val="ru-RU"/>
        </w:rPr>
        <w:t>70</w:t>
      </w:r>
      <w:r w:rsidRPr="00E81A6E">
        <w:rPr>
          <w:rFonts w:ascii="Times New Roman" w:hAnsi="Times New Roman" w:cs="Times New Roman"/>
          <w:sz w:val="24"/>
          <w:szCs w:val="24"/>
          <w:lang w:val="ru-RU"/>
        </w:rPr>
        <w:t>,5млн.лв. са от данъчни приходи. Спрямо заложения бюджет, изпълнението е 9</w:t>
      </w:r>
      <w:r w:rsidR="00FF020C" w:rsidRPr="00E81A6E">
        <w:rPr>
          <w:rFonts w:ascii="Times New Roman" w:hAnsi="Times New Roman" w:cs="Times New Roman"/>
          <w:sz w:val="24"/>
          <w:szCs w:val="24"/>
          <w:lang w:val="ru-RU"/>
        </w:rPr>
        <w:t>7</w:t>
      </w:r>
      <w:r w:rsidRPr="00E81A6E">
        <w:rPr>
          <w:rFonts w:ascii="Times New Roman" w:hAnsi="Times New Roman" w:cs="Times New Roman"/>
          <w:sz w:val="24"/>
          <w:szCs w:val="24"/>
          <w:lang w:val="ru-RU"/>
        </w:rPr>
        <w:t>,</w:t>
      </w:r>
      <w:r w:rsidR="00FF020C" w:rsidRPr="00E81A6E">
        <w:rPr>
          <w:rFonts w:ascii="Times New Roman" w:hAnsi="Times New Roman" w:cs="Times New Roman"/>
          <w:sz w:val="24"/>
          <w:szCs w:val="24"/>
          <w:lang w:val="ru-RU"/>
        </w:rPr>
        <w:t>4</w:t>
      </w:r>
      <w:r w:rsidRPr="00E81A6E">
        <w:rPr>
          <w:rFonts w:ascii="Times New Roman" w:hAnsi="Times New Roman" w:cs="Times New Roman"/>
          <w:sz w:val="24"/>
          <w:szCs w:val="24"/>
          <w:lang w:val="bg-BG"/>
        </w:rPr>
        <w:t xml:space="preserve"> на сто.</w:t>
      </w:r>
    </w:p>
    <w:p w14:paraId="1DB84AD7"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bg-BG"/>
        </w:rPr>
      </w:pPr>
    </w:p>
    <w:p w14:paraId="421BCCD5"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данък върху недвижимите имоти</w:t>
      </w:r>
    </w:p>
    <w:p w14:paraId="3F8DE018" w14:textId="77777777" w:rsidR="004F2F86" w:rsidRPr="00E81A6E" w:rsidRDefault="00D21D6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Изпълнението е 1</w:t>
      </w:r>
      <w:r w:rsidR="00737117" w:rsidRPr="00E81A6E">
        <w:rPr>
          <w:rFonts w:ascii="Times New Roman" w:hAnsi="Times New Roman" w:cs="Times New Roman"/>
          <w:sz w:val="24"/>
          <w:szCs w:val="24"/>
          <w:lang w:val="ru-RU"/>
        </w:rPr>
        <w:t>10</w:t>
      </w:r>
      <w:r w:rsidRPr="00E81A6E">
        <w:rPr>
          <w:rFonts w:ascii="Times New Roman" w:hAnsi="Times New Roman" w:cs="Times New Roman"/>
          <w:sz w:val="24"/>
          <w:szCs w:val="24"/>
          <w:lang w:val="ru-RU"/>
        </w:rPr>
        <w:t>,</w:t>
      </w:r>
      <w:r w:rsidR="00737117"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 спрямо </w:t>
      </w:r>
      <w:r w:rsidR="004F2F86" w:rsidRPr="00E81A6E">
        <w:rPr>
          <w:rFonts w:ascii="Times New Roman" w:hAnsi="Times New Roman" w:cs="Times New Roman"/>
          <w:sz w:val="24"/>
          <w:szCs w:val="24"/>
          <w:lang w:val="ru-RU"/>
        </w:rPr>
        <w:t xml:space="preserve">уточнения </w:t>
      </w:r>
      <w:r w:rsidRPr="00E81A6E">
        <w:rPr>
          <w:rFonts w:ascii="Times New Roman" w:hAnsi="Times New Roman" w:cs="Times New Roman"/>
          <w:sz w:val="24"/>
          <w:szCs w:val="24"/>
          <w:lang w:val="ru-RU"/>
        </w:rPr>
        <w:t>бюджета за годината 99,</w:t>
      </w:r>
      <w:r w:rsidR="00737117"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на сто</w:t>
      </w:r>
      <w:r w:rsidR="00737117" w:rsidRPr="00E81A6E">
        <w:rPr>
          <w:rFonts w:ascii="Times New Roman" w:hAnsi="Times New Roman" w:cs="Times New Roman"/>
          <w:sz w:val="24"/>
          <w:szCs w:val="24"/>
          <w:lang w:val="ru-RU"/>
        </w:rPr>
        <w:t xml:space="preserve">. </w:t>
      </w:r>
      <w:r w:rsidR="004F2F86" w:rsidRPr="00E81A6E">
        <w:rPr>
          <w:rFonts w:ascii="Times New Roman" w:hAnsi="Times New Roman" w:cs="Times New Roman"/>
          <w:sz w:val="24"/>
          <w:szCs w:val="24"/>
          <w:lang w:val="ru-RU"/>
        </w:rPr>
        <w:t>С</w:t>
      </w:r>
      <w:r w:rsidRPr="00E81A6E">
        <w:rPr>
          <w:rFonts w:ascii="Times New Roman" w:hAnsi="Times New Roman" w:cs="Times New Roman"/>
          <w:sz w:val="24"/>
          <w:szCs w:val="24"/>
          <w:lang w:val="ru-RU"/>
        </w:rPr>
        <w:t xml:space="preserve">ъбрани </w:t>
      </w:r>
      <w:r w:rsidR="004F2F86" w:rsidRPr="00E81A6E">
        <w:rPr>
          <w:rFonts w:ascii="Times New Roman" w:hAnsi="Times New Roman" w:cs="Times New Roman"/>
          <w:sz w:val="24"/>
          <w:szCs w:val="24"/>
          <w:lang w:val="ru-RU"/>
        </w:rPr>
        <w:t xml:space="preserve">са </w:t>
      </w:r>
      <w:r w:rsidR="000813CA"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w:t>
      </w:r>
      <w:r w:rsidR="001E4E13" w:rsidRPr="00E81A6E">
        <w:rPr>
          <w:rFonts w:ascii="Times New Roman" w:hAnsi="Times New Roman" w:cs="Times New Roman"/>
          <w:sz w:val="24"/>
          <w:szCs w:val="24"/>
          <w:lang w:val="ru-RU"/>
        </w:rPr>
        <w:t>811</w:t>
      </w:r>
      <w:r w:rsidRPr="00E81A6E">
        <w:rPr>
          <w:rFonts w:ascii="Times New Roman" w:hAnsi="Times New Roman" w:cs="Times New Roman"/>
          <w:sz w:val="24"/>
          <w:szCs w:val="24"/>
          <w:lang w:val="ru-RU"/>
        </w:rPr>
        <w:t xml:space="preserve"> хил.лв.</w:t>
      </w:r>
      <w:r w:rsidR="004F2F86" w:rsidRPr="00E81A6E">
        <w:rPr>
          <w:rFonts w:ascii="Times New Roman" w:hAnsi="Times New Roman" w:cs="Times New Roman"/>
          <w:sz w:val="24"/>
          <w:szCs w:val="24"/>
          <w:lang w:val="ru-RU"/>
        </w:rPr>
        <w:t xml:space="preserve"> повече от 2019г</w:t>
      </w:r>
      <w:r w:rsidRPr="00E81A6E">
        <w:rPr>
          <w:rFonts w:ascii="Times New Roman" w:hAnsi="Times New Roman" w:cs="Times New Roman"/>
          <w:sz w:val="24"/>
          <w:szCs w:val="24"/>
          <w:lang w:val="ru-RU"/>
        </w:rPr>
        <w:t>.</w:t>
      </w:r>
      <w:r w:rsidR="004F2F86" w:rsidRPr="00E81A6E">
        <w:rPr>
          <w:rFonts w:ascii="Times New Roman" w:hAnsi="Times New Roman" w:cs="Times New Roman"/>
          <w:sz w:val="24"/>
          <w:szCs w:val="24"/>
          <w:lang w:val="ru-RU"/>
        </w:rPr>
        <w:t xml:space="preserve"> </w:t>
      </w:r>
      <w:r w:rsidR="004F2F86" w:rsidRPr="00E81A6E">
        <w:rPr>
          <w:rFonts w:ascii="Times New Roman" w:hAnsi="Times New Roman" w:cs="Times New Roman"/>
          <w:sz w:val="24"/>
          <w:szCs w:val="24"/>
          <w:lang w:val="bg-BG"/>
        </w:rPr>
        <w:t xml:space="preserve">           </w:t>
      </w:r>
    </w:p>
    <w:p w14:paraId="40DAD4F5" w14:textId="77777777" w:rsidR="00D21D6D" w:rsidRPr="00E81A6E" w:rsidRDefault="004F2F86"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Данъкът върху недвижимите имоти не е променян през 2020 г., като в първоначалния бюджет са заложени 111,5 млн. лв. приходи или ръст от 3 млн. лв. спрямо отчета за 2019 г. Имайки предвид, че данъкът върху недвижимите имоти е годишен и не е директно обвързан с икономическите процеси (сделки, доходи и т.н.) е нормално ефектът на коронавируса да бъде временен и сравнително ограничен в рамките на цялата година. Това е и причината, въпреки временното изоставане в приходите от облагането на недвижимото имущество, този данък да не е засегнат чувствително.</w:t>
      </w:r>
      <w:r w:rsidR="00D21D6D" w:rsidRPr="00E81A6E">
        <w:rPr>
          <w:rFonts w:ascii="Times New Roman" w:hAnsi="Times New Roman" w:cs="Times New Roman"/>
          <w:sz w:val="24"/>
          <w:szCs w:val="24"/>
          <w:lang w:val="ru-RU"/>
        </w:rPr>
        <w:t xml:space="preserve"> </w:t>
      </w:r>
    </w:p>
    <w:p w14:paraId="2628857C"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За положителния финансов резултат допринесе</w:t>
      </w:r>
      <w:r w:rsidR="004F2F86" w:rsidRPr="00E81A6E">
        <w:rPr>
          <w:rFonts w:ascii="Times New Roman" w:hAnsi="Times New Roman" w:cs="Times New Roman"/>
          <w:sz w:val="24"/>
          <w:szCs w:val="24"/>
          <w:lang w:val="ru-RU"/>
        </w:rPr>
        <w:t xml:space="preserve"> и добрата организация на данъчната администрация</w:t>
      </w:r>
      <w:r w:rsidR="00E80479" w:rsidRPr="00E81A6E">
        <w:rPr>
          <w:rFonts w:ascii="Times New Roman" w:hAnsi="Times New Roman" w:cs="Times New Roman"/>
          <w:sz w:val="24"/>
          <w:szCs w:val="24"/>
          <w:lang w:val="ru-RU"/>
        </w:rPr>
        <w:t xml:space="preserve"> за реализиране процеса на събиране на данъците, в това число по събиране на просрочени задължения, </w:t>
      </w:r>
      <w:r w:rsidR="00E80479" w:rsidRPr="00E81A6E">
        <w:rPr>
          <w:rFonts w:ascii="Times New Roman" w:hAnsi="Times New Roman" w:cs="Times New Roman"/>
          <w:sz w:val="24"/>
          <w:szCs w:val="24"/>
          <w:lang w:val="bg-BG"/>
        </w:rPr>
        <w:t xml:space="preserve">както и </w:t>
      </w:r>
      <w:r w:rsidR="00E80479" w:rsidRPr="00E81A6E">
        <w:rPr>
          <w:rFonts w:ascii="Times New Roman" w:hAnsi="Times New Roman" w:cs="Times New Roman"/>
          <w:sz w:val="24"/>
          <w:szCs w:val="24"/>
          <w:lang w:val="ru-RU"/>
        </w:rPr>
        <w:t xml:space="preserve">законодателната промяна на чл.169, ал.3а от ДОПК за събиране на задълженията по реда на възникване. В тази връзка се </w:t>
      </w:r>
      <w:r w:rsidRPr="00E81A6E">
        <w:rPr>
          <w:rFonts w:ascii="Times New Roman" w:hAnsi="Times New Roman" w:cs="Times New Roman"/>
          <w:sz w:val="24"/>
          <w:szCs w:val="24"/>
          <w:lang w:val="ru-RU"/>
        </w:rPr>
        <w:t>изготв</w:t>
      </w:r>
      <w:r w:rsidR="00E80479" w:rsidRPr="00E81A6E">
        <w:rPr>
          <w:rFonts w:ascii="Times New Roman" w:hAnsi="Times New Roman" w:cs="Times New Roman"/>
          <w:sz w:val="24"/>
          <w:szCs w:val="24"/>
          <w:lang w:val="ru-RU"/>
        </w:rPr>
        <w:t>ят</w:t>
      </w:r>
      <w:r w:rsidRPr="00E81A6E">
        <w:rPr>
          <w:rFonts w:ascii="Times New Roman" w:hAnsi="Times New Roman" w:cs="Times New Roman"/>
          <w:sz w:val="24"/>
          <w:szCs w:val="24"/>
          <w:lang w:val="ru-RU"/>
        </w:rPr>
        <w:t xml:space="preserve"> и връч</w:t>
      </w:r>
      <w:r w:rsidR="00E80479" w:rsidRPr="00E81A6E">
        <w:rPr>
          <w:rFonts w:ascii="Times New Roman" w:hAnsi="Times New Roman" w:cs="Times New Roman"/>
          <w:sz w:val="24"/>
          <w:szCs w:val="24"/>
          <w:lang w:val="ru-RU"/>
        </w:rPr>
        <w:t>ват</w:t>
      </w:r>
      <w:r w:rsidRPr="00E81A6E">
        <w:rPr>
          <w:rFonts w:ascii="Times New Roman" w:hAnsi="Times New Roman" w:cs="Times New Roman"/>
          <w:sz w:val="24"/>
          <w:szCs w:val="24"/>
          <w:lang w:val="ru-RU"/>
        </w:rPr>
        <w:t xml:space="preserve"> актове по чл.107</w:t>
      </w:r>
      <w:r w:rsidRPr="00E81A6E">
        <w:rPr>
          <w:rFonts w:ascii="Times New Roman" w:hAnsi="Times New Roman" w:cs="Times New Roman"/>
          <w:sz w:val="24"/>
          <w:szCs w:val="24"/>
          <w:lang w:val="bg-BG"/>
        </w:rPr>
        <w:t>, ал.3</w:t>
      </w:r>
      <w:r w:rsidRPr="00E81A6E">
        <w:rPr>
          <w:rFonts w:ascii="Times New Roman" w:hAnsi="Times New Roman" w:cs="Times New Roman"/>
          <w:sz w:val="24"/>
          <w:szCs w:val="24"/>
          <w:lang w:val="ru-RU"/>
        </w:rPr>
        <w:t xml:space="preserve"> от ДОПК</w:t>
      </w:r>
      <w:r w:rsidR="00E80479" w:rsidRPr="00E81A6E">
        <w:rPr>
          <w:rFonts w:ascii="Times New Roman" w:hAnsi="Times New Roman" w:cs="Times New Roman"/>
          <w:sz w:val="24"/>
          <w:szCs w:val="24"/>
          <w:lang w:val="ru-RU"/>
        </w:rPr>
        <w:t xml:space="preserve">. </w:t>
      </w:r>
    </w:p>
    <w:p w14:paraId="7B95AEA6"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385A16E2"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данък върху наследствата </w:t>
      </w:r>
    </w:p>
    <w:p w14:paraId="732CAA40"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При разчетени </w:t>
      </w:r>
      <w:r w:rsidR="00AC2CCC"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50,</w:t>
      </w:r>
      <w:r w:rsidRPr="00E81A6E">
        <w:rPr>
          <w:rFonts w:ascii="Times New Roman" w:hAnsi="Times New Roman" w:cs="Times New Roman"/>
          <w:sz w:val="24"/>
          <w:szCs w:val="24"/>
          <w:lang w:val="bg-BG"/>
        </w:rPr>
        <w:t>0</w:t>
      </w:r>
      <w:r w:rsidRPr="00E81A6E">
        <w:rPr>
          <w:rFonts w:ascii="Times New Roman" w:hAnsi="Times New Roman" w:cs="Times New Roman"/>
          <w:sz w:val="24"/>
          <w:szCs w:val="24"/>
          <w:lang w:val="ru-RU"/>
        </w:rPr>
        <w:t>00</w:t>
      </w:r>
      <w:r w:rsidRPr="00E81A6E">
        <w:rPr>
          <w:rFonts w:ascii="Times New Roman" w:hAnsi="Times New Roman" w:cs="Times New Roman"/>
          <w:sz w:val="24"/>
          <w:szCs w:val="24"/>
          <w:lang w:val="bg-BG"/>
        </w:rPr>
        <w:t xml:space="preserve"> лв. за годината</w:t>
      </w:r>
      <w:r w:rsidRPr="00E81A6E">
        <w:rPr>
          <w:rFonts w:ascii="Times New Roman" w:hAnsi="Times New Roman" w:cs="Times New Roman"/>
          <w:sz w:val="24"/>
          <w:szCs w:val="24"/>
          <w:lang w:val="ru-RU"/>
        </w:rPr>
        <w:t xml:space="preserve">, изпълнението е </w:t>
      </w:r>
      <w:r w:rsidR="001E4E13" w:rsidRPr="00E81A6E">
        <w:rPr>
          <w:rFonts w:ascii="Times New Roman" w:hAnsi="Times New Roman" w:cs="Times New Roman"/>
          <w:sz w:val="24"/>
          <w:szCs w:val="24"/>
          <w:lang w:val="ru-RU"/>
        </w:rPr>
        <w:t>185</w:t>
      </w:r>
      <w:r w:rsidRPr="00E81A6E">
        <w:rPr>
          <w:rFonts w:ascii="Times New Roman" w:hAnsi="Times New Roman" w:cs="Times New Roman"/>
          <w:sz w:val="24"/>
          <w:szCs w:val="24"/>
          <w:lang w:val="ru-RU"/>
        </w:rPr>
        <w:t>,</w:t>
      </w:r>
      <w:r w:rsidR="001E4E13" w:rsidRPr="00E81A6E">
        <w:rPr>
          <w:rFonts w:ascii="Times New Roman" w:hAnsi="Times New Roman" w:cs="Times New Roman"/>
          <w:sz w:val="24"/>
          <w:szCs w:val="24"/>
          <w:lang w:val="ru-RU"/>
        </w:rPr>
        <w:t>004</w:t>
      </w:r>
      <w:r w:rsidRPr="00E81A6E">
        <w:rPr>
          <w:rFonts w:ascii="Times New Roman" w:hAnsi="Times New Roman" w:cs="Times New Roman"/>
          <w:sz w:val="24"/>
          <w:szCs w:val="24"/>
          <w:lang w:val="bg-BG"/>
        </w:rPr>
        <w:t xml:space="preserve"> лв.</w:t>
      </w:r>
      <w:r w:rsidRPr="00E81A6E">
        <w:rPr>
          <w:rFonts w:ascii="Times New Roman" w:hAnsi="Times New Roman" w:cs="Times New Roman"/>
          <w:sz w:val="24"/>
          <w:szCs w:val="24"/>
          <w:lang w:val="ru-RU"/>
        </w:rPr>
        <w:t xml:space="preserve"> Високият размер на необлагаемия наследствен дял – 250 000</w:t>
      </w:r>
      <w:r w:rsidRPr="00E81A6E">
        <w:rPr>
          <w:rFonts w:ascii="Times New Roman" w:hAnsi="Times New Roman" w:cs="Times New Roman"/>
          <w:sz w:val="24"/>
          <w:szCs w:val="24"/>
          <w:lang w:val="bg-BG"/>
        </w:rPr>
        <w:t xml:space="preserve"> лв.</w:t>
      </w:r>
      <w:r w:rsidRPr="00E81A6E">
        <w:rPr>
          <w:rFonts w:ascii="Times New Roman" w:hAnsi="Times New Roman" w:cs="Times New Roman"/>
          <w:sz w:val="24"/>
          <w:szCs w:val="24"/>
          <w:lang w:val="ru-RU"/>
        </w:rPr>
        <w:t xml:space="preserve"> на практика прави голяма част от наследствата необлагаеми, в резултат приходите от този данък са трудно прогнозируеми. Ставката е 0.7</w:t>
      </w:r>
      <w:r w:rsidRPr="00E81A6E">
        <w:rPr>
          <w:rFonts w:ascii="Times New Roman" w:hAnsi="Times New Roman" w:cs="Times New Roman"/>
          <w:sz w:val="24"/>
          <w:szCs w:val="24"/>
          <w:lang w:val="bg-BG"/>
        </w:rPr>
        <w:t xml:space="preserve"> на сто</w:t>
      </w:r>
      <w:r w:rsidRPr="00E81A6E">
        <w:rPr>
          <w:rFonts w:ascii="Times New Roman" w:hAnsi="Times New Roman" w:cs="Times New Roman"/>
          <w:sz w:val="24"/>
          <w:szCs w:val="24"/>
          <w:lang w:val="ru-RU"/>
        </w:rPr>
        <w:t xml:space="preserve"> при наследство между братя, сестри и техните деца, и 5</w:t>
      </w:r>
      <w:r w:rsidRPr="00E81A6E">
        <w:rPr>
          <w:rFonts w:ascii="Times New Roman" w:hAnsi="Times New Roman" w:cs="Times New Roman"/>
          <w:sz w:val="24"/>
          <w:szCs w:val="24"/>
          <w:lang w:val="bg-BG"/>
        </w:rPr>
        <w:t xml:space="preserve"> на сто</w:t>
      </w:r>
      <w:r w:rsidRPr="00E81A6E">
        <w:rPr>
          <w:rFonts w:ascii="Times New Roman" w:hAnsi="Times New Roman" w:cs="Times New Roman"/>
          <w:sz w:val="24"/>
          <w:szCs w:val="24"/>
          <w:lang w:val="ru-RU"/>
        </w:rPr>
        <w:t xml:space="preserve"> за наследствен дял над 250</w:t>
      </w:r>
      <w:r w:rsidRPr="00E81A6E">
        <w:rPr>
          <w:rFonts w:ascii="Times New Roman" w:hAnsi="Times New Roman" w:cs="Times New Roman"/>
          <w:sz w:val="24"/>
          <w:szCs w:val="24"/>
        </w:rPr>
        <w:t> </w:t>
      </w:r>
      <w:r w:rsidRPr="00E81A6E">
        <w:rPr>
          <w:rFonts w:ascii="Times New Roman" w:hAnsi="Times New Roman" w:cs="Times New Roman"/>
          <w:sz w:val="24"/>
          <w:szCs w:val="24"/>
          <w:lang w:val="ru-RU"/>
        </w:rPr>
        <w:t xml:space="preserve">000 лв. и за лица извън горепосочените. </w:t>
      </w:r>
    </w:p>
    <w:p w14:paraId="138C4467"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0728CD4F"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данък върху превозните средства </w:t>
      </w:r>
    </w:p>
    <w:p w14:paraId="4358F16B" w14:textId="77777777" w:rsidR="000E4128"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По отчет към 31.12</w:t>
      </w:r>
      <w:r w:rsidR="001E4E13" w:rsidRPr="00E81A6E">
        <w:rPr>
          <w:rFonts w:ascii="Times New Roman" w:hAnsi="Times New Roman" w:cs="Times New Roman"/>
          <w:sz w:val="24"/>
          <w:szCs w:val="24"/>
          <w:lang w:val="ru-RU"/>
        </w:rPr>
        <w:t>.2020</w:t>
      </w:r>
      <w:r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са постъпили </w:t>
      </w:r>
      <w:r w:rsidR="001E4E13" w:rsidRPr="00E81A6E">
        <w:rPr>
          <w:rFonts w:ascii="Times New Roman" w:hAnsi="Times New Roman" w:cs="Times New Roman"/>
          <w:sz w:val="24"/>
          <w:szCs w:val="24"/>
          <w:lang w:val="ru-RU"/>
        </w:rPr>
        <w:t>104</w:t>
      </w:r>
      <w:r w:rsidRPr="00E81A6E">
        <w:rPr>
          <w:rFonts w:ascii="Times New Roman" w:hAnsi="Times New Roman" w:cs="Times New Roman"/>
          <w:sz w:val="24"/>
          <w:szCs w:val="24"/>
          <w:lang w:val="ru-RU"/>
        </w:rPr>
        <w:t>,</w:t>
      </w:r>
      <w:r w:rsidR="001E4E13"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 xml:space="preserve"> млн.лв., при уточнен бюджет за годината 1</w:t>
      </w:r>
      <w:r w:rsidR="001E4E13" w:rsidRPr="00E81A6E">
        <w:rPr>
          <w:rFonts w:ascii="Times New Roman" w:hAnsi="Times New Roman" w:cs="Times New Roman"/>
          <w:sz w:val="24"/>
          <w:szCs w:val="24"/>
          <w:lang w:val="ru-RU"/>
        </w:rPr>
        <w:t>12</w:t>
      </w:r>
      <w:r w:rsidRPr="00E81A6E">
        <w:rPr>
          <w:rFonts w:ascii="Times New Roman" w:hAnsi="Times New Roman" w:cs="Times New Roman"/>
          <w:sz w:val="24"/>
          <w:szCs w:val="24"/>
          <w:lang w:val="ru-RU"/>
        </w:rPr>
        <w:t>,</w:t>
      </w:r>
      <w:r w:rsidR="001E4E13"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млн.лв., или изпълнение 9</w:t>
      </w:r>
      <w:r w:rsidR="001E4E13"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w:t>
      </w:r>
      <w:r w:rsidR="001E4E13"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 xml:space="preserve"> на сто. Изпълнението е по-</w:t>
      </w:r>
      <w:r w:rsidR="001E4E13" w:rsidRPr="00E81A6E">
        <w:rPr>
          <w:rFonts w:ascii="Times New Roman" w:hAnsi="Times New Roman" w:cs="Times New Roman"/>
          <w:sz w:val="24"/>
          <w:szCs w:val="24"/>
          <w:lang w:val="ru-RU"/>
        </w:rPr>
        <w:t>голямо</w:t>
      </w:r>
      <w:r w:rsidRPr="00E81A6E">
        <w:rPr>
          <w:rFonts w:ascii="Times New Roman" w:hAnsi="Times New Roman" w:cs="Times New Roman"/>
          <w:sz w:val="24"/>
          <w:szCs w:val="24"/>
          <w:lang w:val="ru-RU"/>
        </w:rPr>
        <w:t xml:space="preserve"> от 20</w:t>
      </w:r>
      <w:r w:rsidR="000813CA" w:rsidRPr="00E81A6E">
        <w:rPr>
          <w:rFonts w:ascii="Times New Roman" w:hAnsi="Times New Roman" w:cs="Times New Roman"/>
          <w:sz w:val="24"/>
          <w:szCs w:val="24"/>
          <w:lang w:val="ru-RU"/>
        </w:rPr>
        <w:t>19</w:t>
      </w:r>
      <w:r w:rsidRPr="00E81A6E">
        <w:rPr>
          <w:rFonts w:ascii="Times New Roman" w:hAnsi="Times New Roman" w:cs="Times New Roman"/>
          <w:sz w:val="24"/>
          <w:szCs w:val="24"/>
          <w:lang w:val="bg-BG"/>
        </w:rPr>
        <w:t>г.</w:t>
      </w:r>
      <w:r w:rsidR="00D74B07" w:rsidRPr="00E81A6E">
        <w:rPr>
          <w:rFonts w:ascii="Times New Roman" w:hAnsi="Times New Roman" w:cs="Times New Roman"/>
          <w:sz w:val="24"/>
          <w:szCs w:val="24"/>
          <w:lang w:val="bg-BG"/>
        </w:rPr>
        <w:t xml:space="preserve"> с 10,6 млн.лв.</w:t>
      </w:r>
      <w:r w:rsidRPr="00E81A6E">
        <w:rPr>
          <w:rFonts w:ascii="Times New Roman" w:hAnsi="Times New Roman" w:cs="Times New Roman"/>
          <w:sz w:val="24"/>
          <w:szCs w:val="24"/>
          <w:lang w:val="ru-RU"/>
        </w:rPr>
        <w:t>, което се дължи на промяна в нормативната уредба</w:t>
      </w:r>
      <w:r w:rsidR="00D74B07" w:rsidRPr="00E81A6E">
        <w:rPr>
          <w:rFonts w:ascii="Times New Roman" w:hAnsi="Times New Roman" w:cs="Times New Roman"/>
          <w:sz w:val="24"/>
          <w:szCs w:val="24"/>
          <w:lang w:val="ru-RU"/>
        </w:rPr>
        <w:t xml:space="preserve"> за размера на данъка, приета от Столичен общи</w:t>
      </w:r>
      <w:r w:rsidR="000813CA" w:rsidRPr="00E81A6E">
        <w:rPr>
          <w:rFonts w:ascii="Times New Roman" w:hAnsi="Times New Roman" w:cs="Times New Roman"/>
          <w:sz w:val="24"/>
          <w:szCs w:val="24"/>
          <w:lang w:val="ru-RU"/>
        </w:rPr>
        <w:t>н</w:t>
      </w:r>
      <w:r w:rsidR="00D74B07" w:rsidRPr="00E81A6E">
        <w:rPr>
          <w:rFonts w:ascii="Times New Roman" w:hAnsi="Times New Roman" w:cs="Times New Roman"/>
          <w:sz w:val="24"/>
          <w:szCs w:val="24"/>
          <w:lang w:val="ru-RU"/>
        </w:rPr>
        <w:t>ски съвет, в сила от 01.01.2020г.</w:t>
      </w:r>
      <w:r w:rsidRPr="00E81A6E">
        <w:rPr>
          <w:rFonts w:ascii="Times New Roman" w:hAnsi="Times New Roman" w:cs="Times New Roman"/>
          <w:sz w:val="24"/>
          <w:szCs w:val="24"/>
          <w:lang w:val="ru-RU"/>
        </w:rPr>
        <w:t xml:space="preserve"> </w:t>
      </w:r>
    </w:p>
    <w:p w14:paraId="463265AB" w14:textId="77777777" w:rsidR="000E4128" w:rsidRPr="00E81A6E" w:rsidRDefault="000E4128"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Данъкът върху превозните средства в столицата беше увеличен през 2020 г.,като промяната засегна както коефициента за мощност, така и екологичния компонент. В резултат на това в първоначалния бюджет са заложени приходи от 116 млн.лв. или с близо 23 млн.лв. повече спрямо </w:t>
      </w:r>
      <w:r w:rsidR="00AC2CCC" w:rsidRPr="00E81A6E">
        <w:rPr>
          <w:rFonts w:ascii="Times New Roman" w:hAnsi="Times New Roman" w:cs="Times New Roman"/>
          <w:sz w:val="24"/>
          <w:szCs w:val="24"/>
          <w:lang w:val="bg-BG"/>
        </w:rPr>
        <w:t xml:space="preserve">отчета за </w:t>
      </w:r>
      <w:r w:rsidRPr="00E81A6E">
        <w:rPr>
          <w:rFonts w:ascii="Times New Roman" w:hAnsi="Times New Roman" w:cs="Times New Roman"/>
          <w:sz w:val="24"/>
          <w:szCs w:val="24"/>
          <w:lang w:val="bg-BG"/>
        </w:rPr>
        <w:t>2019 г., актуализираният размер е 112,8 млн.лв. Облагането на превозните средства, подобно на недвижимото имущество, не е директно зависимо от икономическите процеси (сделки, доходи и т.н.) и ефектът на кризата е по-скоро в отлагане на плащанията. Изпълнението е значително над това за 2019, но не достига разчетите за 2020г.</w:t>
      </w:r>
    </w:p>
    <w:p w14:paraId="16733C1F"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5DD6336C" w14:textId="77777777" w:rsidR="00D21D6D" w:rsidRPr="00E81A6E" w:rsidRDefault="00D21D6D" w:rsidP="00F55B06">
      <w:pPr>
        <w:pStyle w:val="Heading6"/>
        <w:spacing w:before="0" w:line="240" w:lineRule="auto"/>
        <w:ind w:firstLine="720"/>
        <w:contextualSpacing/>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данък при възмездно придобиване на имущество и дарения. </w:t>
      </w:r>
    </w:p>
    <w:p w14:paraId="7D7F9EFB" w14:textId="77777777" w:rsidR="007A7B77" w:rsidRPr="00E81A6E" w:rsidRDefault="00D21D6D" w:rsidP="00F55B06">
      <w:pPr>
        <w:tabs>
          <w:tab w:val="left" w:pos="709"/>
        </w:tabs>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Отчетът за 20</w:t>
      </w:r>
      <w:r w:rsidR="00D74B07"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 е 1</w:t>
      </w:r>
      <w:r w:rsidR="00D74B07" w:rsidRPr="00E81A6E">
        <w:rPr>
          <w:rFonts w:ascii="Times New Roman" w:hAnsi="Times New Roman" w:cs="Times New Roman"/>
          <w:sz w:val="24"/>
          <w:szCs w:val="24"/>
          <w:lang w:val="ru-RU"/>
        </w:rPr>
        <w:t>51</w:t>
      </w:r>
      <w:r w:rsidRPr="00E81A6E">
        <w:rPr>
          <w:rFonts w:ascii="Times New Roman" w:hAnsi="Times New Roman" w:cs="Times New Roman"/>
          <w:sz w:val="24"/>
          <w:szCs w:val="24"/>
          <w:lang w:val="ru-RU"/>
        </w:rPr>
        <w:t>,</w:t>
      </w:r>
      <w:r w:rsidR="00D74B07"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 или </w:t>
      </w:r>
      <w:r w:rsidR="00D74B07" w:rsidRPr="00E81A6E">
        <w:rPr>
          <w:rFonts w:ascii="Times New Roman" w:hAnsi="Times New Roman" w:cs="Times New Roman"/>
          <w:sz w:val="24"/>
          <w:szCs w:val="24"/>
          <w:lang w:val="ru-RU"/>
        </w:rPr>
        <w:t>102</w:t>
      </w:r>
      <w:r w:rsidRPr="00E81A6E">
        <w:rPr>
          <w:rFonts w:ascii="Times New Roman" w:hAnsi="Times New Roman" w:cs="Times New Roman"/>
          <w:sz w:val="24"/>
          <w:szCs w:val="24"/>
          <w:lang w:val="ru-RU"/>
        </w:rPr>
        <w:t>,</w:t>
      </w:r>
      <w:r w:rsidR="00D74B07"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 xml:space="preserve"> на сто спрямо </w:t>
      </w:r>
      <w:r w:rsidR="00D74B07" w:rsidRPr="00E81A6E">
        <w:rPr>
          <w:rFonts w:ascii="Times New Roman" w:hAnsi="Times New Roman" w:cs="Times New Roman"/>
          <w:sz w:val="24"/>
          <w:szCs w:val="24"/>
          <w:lang w:val="ru-RU"/>
        </w:rPr>
        <w:t>уточнения</w:t>
      </w:r>
      <w:r w:rsidRPr="00E81A6E">
        <w:rPr>
          <w:rFonts w:ascii="Times New Roman" w:hAnsi="Times New Roman" w:cs="Times New Roman"/>
          <w:sz w:val="24"/>
          <w:szCs w:val="24"/>
          <w:lang w:val="ru-RU"/>
        </w:rPr>
        <w:t xml:space="preserve"> бюджет за годината. За сравнение изпълнението е с </w:t>
      </w:r>
      <w:r w:rsidR="00D74B07"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w:t>
      </w:r>
      <w:r w:rsidR="00D74B07" w:rsidRPr="00E81A6E">
        <w:rPr>
          <w:rFonts w:ascii="Times New Roman" w:hAnsi="Times New Roman" w:cs="Times New Roman"/>
          <w:sz w:val="24"/>
          <w:szCs w:val="24"/>
          <w:lang w:val="ru-RU"/>
        </w:rPr>
        <w:t>7</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повече от 201</w:t>
      </w:r>
      <w:r w:rsidR="00D74B07"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г.</w:t>
      </w:r>
    </w:p>
    <w:p w14:paraId="240300D7" w14:textId="77777777" w:rsidR="00227C99" w:rsidRPr="00E81A6E" w:rsidRDefault="007A7B7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Данъкът при придобиване на имущество по възмезден начин в столицата беше увеличен от 2,5% на 3% през 2020 г. С тази стъпка на практика данъкът е вече на максимума, допустим по закон. В резултат на това в бюджета за 2020 г. са заложени приходи от 156 млн.лв. или с над 25 млн.лв. повече спрямо</w:t>
      </w:r>
      <w:r w:rsidR="006F4FDB" w:rsidRPr="00E81A6E">
        <w:rPr>
          <w:rFonts w:ascii="Times New Roman" w:hAnsi="Times New Roman" w:cs="Times New Roman"/>
          <w:sz w:val="24"/>
          <w:szCs w:val="24"/>
          <w:lang w:val="bg-BG"/>
        </w:rPr>
        <w:t xml:space="preserve"> </w:t>
      </w:r>
      <w:r w:rsidR="006B4890" w:rsidRPr="00E81A6E">
        <w:rPr>
          <w:rFonts w:ascii="Times New Roman" w:hAnsi="Times New Roman" w:cs="Times New Roman"/>
          <w:sz w:val="24"/>
          <w:szCs w:val="24"/>
          <w:lang w:val="bg-BG"/>
        </w:rPr>
        <w:t>отчета за</w:t>
      </w:r>
      <w:r w:rsidRPr="00E81A6E">
        <w:rPr>
          <w:rFonts w:ascii="Times New Roman" w:hAnsi="Times New Roman" w:cs="Times New Roman"/>
          <w:sz w:val="24"/>
          <w:szCs w:val="24"/>
          <w:lang w:val="bg-BG"/>
        </w:rPr>
        <w:t xml:space="preserve"> 2019 г. Облагането на сделките с имущество са обвързани пряко с икономическата активност – основно сделки с имоти, което прави приходите от този данък по-волатилни при рязка промяна в икономическата среда. </w:t>
      </w:r>
    </w:p>
    <w:p w14:paraId="2244031C" w14:textId="77777777" w:rsidR="007A7B77" w:rsidRPr="00E81A6E" w:rsidRDefault="007A7B7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lastRenderedPageBreak/>
        <w:t xml:space="preserve">В първите три месеца на 2020 г. приходите от облагането на сделките чувствително изпреварват приходите от 2019 г., което е спрямо очакванията от повишената ставка. Към края на март 2020 г. вече има превишение с над 7 млн. лв. спрямо март 2019 г. В месеците на извънредното положение има известно изоставане в приходите, но кумулативно те все пак се запазват на нива над тези от 2019 г. Въпреки това, реално има изоставане спрямо плана за 2020 г. Актуализацията на бюджета на Столична община от 30 април 2020 г. ревизира с 8 млн.лв. надолу очакваните приходи от облагане на сделките, което отразява ефекта на занижената икономическа активност след обявяване на извънредното положение. При втората актуализация прогнозата </w:t>
      </w:r>
      <w:r w:rsidR="007C715A" w:rsidRPr="00E81A6E">
        <w:rPr>
          <w:rFonts w:ascii="Times New Roman" w:hAnsi="Times New Roman" w:cs="Times New Roman"/>
          <w:sz w:val="24"/>
          <w:szCs w:val="24"/>
          <w:lang w:val="bg-BG"/>
        </w:rPr>
        <w:t>беше</w:t>
      </w:r>
      <w:r w:rsidRPr="00E81A6E">
        <w:rPr>
          <w:rFonts w:ascii="Times New Roman" w:hAnsi="Times New Roman" w:cs="Times New Roman"/>
          <w:sz w:val="24"/>
          <w:szCs w:val="24"/>
          <w:lang w:val="bg-BG"/>
        </w:rPr>
        <w:t xml:space="preserve">, че приходите от този данък биха могли да бъдат изпълнени до актуализирания им размер от месец април, поради което </w:t>
      </w:r>
      <w:r w:rsidR="00570254" w:rsidRPr="00E81A6E">
        <w:rPr>
          <w:rFonts w:ascii="Times New Roman" w:hAnsi="Times New Roman" w:cs="Times New Roman"/>
          <w:sz w:val="24"/>
          <w:szCs w:val="24"/>
          <w:lang w:val="bg-BG"/>
        </w:rPr>
        <w:t>разчетът не е намаляван втори път. Изпълнението потвърждава прогнозата.</w:t>
      </w:r>
    </w:p>
    <w:p w14:paraId="26381C32" w14:textId="77777777" w:rsidR="00D21D6D" w:rsidRPr="00E81A6E" w:rsidRDefault="00D21D6D" w:rsidP="00F55B06">
      <w:pPr>
        <w:tabs>
          <w:tab w:val="left" w:pos="709"/>
        </w:tabs>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 xml:space="preserve">С цел подобряване на събираемостта </w:t>
      </w:r>
      <w:r w:rsidR="000813CA" w:rsidRPr="00E81A6E">
        <w:rPr>
          <w:rFonts w:ascii="Times New Roman" w:hAnsi="Times New Roman" w:cs="Times New Roman"/>
          <w:sz w:val="24"/>
          <w:szCs w:val="24"/>
          <w:lang w:val="ru-RU"/>
        </w:rPr>
        <w:t>е разработен</w:t>
      </w:r>
      <w:r w:rsidRPr="00E81A6E">
        <w:rPr>
          <w:rFonts w:ascii="Times New Roman" w:hAnsi="Times New Roman" w:cs="Times New Roman"/>
          <w:sz w:val="24"/>
          <w:szCs w:val="24"/>
        </w:rPr>
        <w:t xml:space="preserve"> продукт за служебно предоставяне на информация от Агенцията по вписванията за реализираните сделки на всички общини в страната, в т.ч. и на Столична община. Съгласно чл. 51 ал.2 от ЗМДТ нотариусите уведомяват съответната община за прехвърлените вещни права върху недвижимите имоти и превозни средства.</w:t>
      </w:r>
    </w:p>
    <w:p w14:paraId="519E6788" w14:textId="77777777" w:rsidR="00227C99" w:rsidRPr="00E81A6E" w:rsidRDefault="00227C99" w:rsidP="00F55B06">
      <w:pPr>
        <w:tabs>
          <w:tab w:val="left" w:pos="709"/>
        </w:tabs>
        <w:spacing w:after="0" w:line="240" w:lineRule="auto"/>
        <w:ind w:firstLine="720"/>
        <w:contextualSpacing/>
        <w:jc w:val="both"/>
        <w:rPr>
          <w:rFonts w:ascii="Times New Roman" w:hAnsi="Times New Roman" w:cs="Times New Roman"/>
          <w:sz w:val="24"/>
          <w:szCs w:val="24"/>
        </w:rPr>
      </w:pPr>
    </w:p>
    <w:p w14:paraId="44F69D2E" w14:textId="77777777" w:rsidR="00D21D6D" w:rsidRPr="00E81A6E" w:rsidRDefault="00D21D6D" w:rsidP="00F55B06">
      <w:pPr>
        <w:pStyle w:val="Heading6"/>
        <w:spacing w:before="0" w:line="240" w:lineRule="auto"/>
        <w:ind w:firstLine="720"/>
        <w:contextualSpacing/>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Патентен данък</w:t>
      </w:r>
    </w:p>
    <w:p w14:paraId="43F8C035" w14:textId="77777777" w:rsidR="00A122F8" w:rsidRPr="00E81A6E" w:rsidRDefault="00D21D6D" w:rsidP="00F55B06">
      <w:pPr>
        <w:spacing w:after="0" w:line="240" w:lineRule="auto"/>
        <w:ind w:firstLine="720"/>
        <w:contextualSpacing/>
        <w:jc w:val="both"/>
        <w:rPr>
          <w:rFonts w:ascii="Times New Roman" w:hAnsi="Times New Roman" w:cs="Times New Roman"/>
          <w:sz w:val="24"/>
          <w:szCs w:val="24"/>
          <w:highlight w:val="yellow"/>
          <w:lang w:val="bg-BG"/>
        </w:rPr>
      </w:pPr>
      <w:r w:rsidRPr="00E81A6E">
        <w:rPr>
          <w:rFonts w:ascii="Times New Roman" w:hAnsi="Times New Roman" w:cs="Times New Roman"/>
          <w:sz w:val="24"/>
          <w:szCs w:val="24"/>
          <w:lang w:val="ru-RU"/>
        </w:rPr>
        <w:t>Изпълнението към 31.12.20</w:t>
      </w:r>
      <w:r w:rsidR="00915430"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е </w:t>
      </w:r>
      <w:r w:rsidR="00915430"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915430" w:rsidRPr="00E81A6E">
        <w:rPr>
          <w:rFonts w:ascii="Times New Roman" w:hAnsi="Times New Roman" w:cs="Times New Roman"/>
          <w:sz w:val="24"/>
          <w:szCs w:val="24"/>
          <w:lang w:val="ru-RU"/>
        </w:rPr>
        <w:t>7</w:t>
      </w:r>
      <w:r w:rsidRPr="00E81A6E">
        <w:rPr>
          <w:rFonts w:ascii="Times New Roman" w:hAnsi="Times New Roman" w:cs="Times New Roman"/>
          <w:sz w:val="24"/>
          <w:szCs w:val="24"/>
          <w:lang w:val="ru-RU"/>
        </w:rPr>
        <w:t xml:space="preserve"> млн.лв., при уточнен бюджет за годината </w:t>
      </w:r>
      <w:r w:rsidR="00915430"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915430" w:rsidRPr="00E81A6E">
        <w:rPr>
          <w:rFonts w:ascii="Times New Roman" w:hAnsi="Times New Roman" w:cs="Times New Roman"/>
          <w:sz w:val="24"/>
          <w:szCs w:val="24"/>
          <w:lang w:val="ru-RU"/>
        </w:rPr>
        <w:t>7</w:t>
      </w:r>
      <w:r w:rsidRPr="00E81A6E">
        <w:rPr>
          <w:rFonts w:ascii="Times New Roman" w:hAnsi="Times New Roman" w:cs="Times New Roman"/>
          <w:sz w:val="24"/>
          <w:szCs w:val="24"/>
          <w:lang w:val="bg-BG"/>
        </w:rPr>
        <w:t xml:space="preserve"> млн.лв.</w:t>
      </w:r>
      <w:r w:rsidRPr="00E81A6E">
        <w:rPr>
          <w:rFonts w:ascii="Times New Roman" w:hAnsi="Times New Roman" w:cs="Times New Roman"/>
          <w:sz w:val="24"/>
          <w:szCs w:val="24"/>
          <w:lang w:val="ru-RU"/>
        </w:rPr>
        <w:t xml:space="preserve"> или </w:t>
      </w:r>
      <w:r w:rsidR="00915430" w:rsidRPr="00E81A6E">
        <w:rPr>
          <w:rFonts w:ascii="Times New Roman" w:hAnsi="Times New Roman" w:cs="Times New Roman"/>
          <w:sz w:val="24"/>
          <w:szCs w:val="24"/>
          <w:lang w:val="ru-RU"/>
        </w:rPr>
        <w:t>55</w:t>
      </w:r>
      <w:r w:rsidRPr="00E81A6E">
        <w:rPr>
          <w:rFonts w:ascii="Times New Roman" w:hAnsi="Times New Roman" w:cs="Times New Roman"/>
          <w:sz w:val="24"/>
          <w:szCs w:val="24"/>
          <w:lang w:val="ru-RU"/>
        </w:rPr>
        <w:t>,</w:t>
      </w:r>
      <w:r w:rsidR="00915430"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 xml:space="preserve"> на сто., в това число е и данък върху таксиметровите превози. При данъка върху таксиметровите превози се отчита </w:t>
      </w:r>
      <w:r w:rsidR="00915430" w:rsidRPr="00E81A6E">
        <w:rPr>
          <w:rFonts w:ascii="Times New Roman" w:hAnsi="Times New Roman" w:cs="Times New Roman"/>
          <w:sz w:val="24"/>
          <w:szCs w:val="24"/>
          <w:lang w:val="ru-RU"/>
        </w:rPr>
        <w:t>изпълнение от 51.9 на сто.</w:t>
      </w:r>
      <w:r w:rsidR="00A122F8" w:rsidRPr="00E81A6E">
        <w:rPr>
          <w:rFonts w:ascii="Times New Roman" w:hAnsi="Times New Roman" w:cs="Times New Roman"/>
          <w:sz w:val="24"/>
          <w:szCs w:val="24"/>
          <w:lang w:val="ru-RU"/>
        </w:rPr>
        <w:t xml:space="preserve"> </w:t>
      </w:r>
      <w:r w:rsidR="00A122F8" w:rsidRPr="00E81A6E">
        <w:rPr>
          <w:rFonts w:ascii="Times New Roman" w:hAnsi="Times New Roman" w:cs="Times New Roman"/>
          <w:sz w:val="24"/>
          <w:szCs w:val="24"/>
          <w:lang w:val="bg-BG"/>
        </w:rPr>
        <w:t>Този данък се заплаща авансово за следващата година. Съгласно ЗДБР за 2021г. данъка са заплаща в минималният размер от 300 лв. определен в ЗМДТ. През 2021 г. общините ще да бъдат компенсирани от държавният бюджет за намалените приходи.</w:t>
      </w:r>
    </w:p>
    <w:p w14:paraId="38F28A92" w14:textId="77777777" w:rsidR="00227C99" w:rsidRPr="00E81A6E" w:rsidRDefault="00915430"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highlight w:val="yellow"/>
          <w:lang w:val="ru-RU"/>
        </w:rPr>
        <w:t xml:space="preserve"> </w:t>
      </w:r>
    </w:p>
    <w:p w14:paraId="4BBACA4C" w14:textId="77777777" w:rsidR="00D21D6D" w:rsidRPr="00E81A6E" w:rsidRDefault="00D21D6D" w:rsidP="00F55B06">
      <w:pPr>
        <w:pStyle w:val="Heading6"/>
        <w:spacing w:before="0" w:line="240" w:lineRule="auto"/>
        <w:ind w:firstLine="720"/>
        <w:contextualSpacing/>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Туристически данък</w:t>
      </w:r>
    </w:p>
    <w:p w14:paraId="57EF957B" w14:textId="77777777" w:rsidR="00E45243" w:rsidRPr="00E81A6E" w:rsidRDefault="00E45243"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Д</w:t>
      </w:r>
      <w:r w:rsidR="00D21D6D" w:rsidRPr="00E81A6E">
        <w:rPr>
          <w:rFonts w:ascii="Times New Roman" w:hAnsi="Times New Roman" w:cs="Times New Roman"/>
          <w:sz w:val="24"/>
          <w:szCs w:val="24"/>
          <w:lang w:val="bg-BG"/>
        </w:rPr>
        <w:t>анък</w:t>
      </w:r>
      <w:r w:rsidRPr="00E81A6E">
        <w:rPr>
          <w:rFonts w:ascii="Times New Roman" w:hAnsi="Times New Roman" w:cs="Times New Roman"/>
          <w:sz w:val="24"/>
          <w:szCs w:val="24"/>
          <w:lang w:val="bg-BG"/>
        </w:rPr>
        <w:t>ът</w:t>
      </w:r>
      <w:r w:rsidR="00D21D6D" w:rsidRPr="00E81A6E">
        <w:rPr>
          <w:rFonts w:ascii="Times New Roman" w:hAnsi="Times New Roman" w:cs="Times New Roman"/>
          <w:sz w:val="24"/>
          <w:szCs w:val="24"/>
          <w:lang w:val="bg-BG"/>
        </w:rPr>
        <w:t xml:space="preserve"> </w:t>
      </w:r>
      <w:r w:rsidR="00D21D6D" w:rsidRPr="00E81A6E">
        <w:rPr>
          <w:rFonts w:ascii="Times New Roman" w:hAnsi="Times New Roman" w:cs="Times New Roman"/>
          <w:sz w:val="24"/>
          <w:szCs w:val="24"/>
          <w:lang w:val="ru-RU"/>
        </w:rPr>
        <w:t xml:space="preserve">е с изпълнение </w:t>
      </w:r>
      <w:r w:rsidRPr="00E81A6E">
        <w:rPr>
          <w:rFonts w:ascii="Times New Roman" w:hAnsi="Times New Roman" w:cs="Times New Roman"/>
          <w:sz w:val="24"/>
          <w:szCs w:val="24"/>
          <w:lang w:val="ru-RU"/>
        </w:rPr>
        <w:t>0</w:t>
      </w:r>
      <w:r w:rsidR="00D21D6D"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96</w:t>
      </w:r>
      <w:r w:rsidR="00D21D6D" w:rsidRPr="00E81A6E">
        <w:rPr>
          <w:rFonts w:ascii="Times New Roman" w:hAnsi="Times New Roman" w:cs="Times New Roman"/>
          <w:sz w:val="24"/>
          <w:szCs w:val="24"/>
          <w:lang w:val="ru-RU"/>
        </w:rPr>
        <w:t xml:space="preserve"> млн.лв. или </w:t>
      </w:r>
      <w:r w:rsidRPr="00E81A6E">
        <w:rPr>
          <w:rFonts w:ascii="Times New Roman" w:hAnsi="Times New Roman" w:cs="Times New Roman"/>
          <w:sz w:val="24"/>
          <w:szCs w:val="24"/>
          <w:lang w:val="ru-RU"/>
        </w:rPr>
        <w:t>48</w:t>
      </w:r>
      <w:r w:rsidR="00D21D6D"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2</w:t>
      </w:r>
      <w:r w:rsidR="00D21D6D" w:rsidRPr="00E81A6E">
        <w:rPr>
          <w:rFonts w:ascii="Times New Roman" w:hAnsi="Times New Roman" w:cs="Times New Roman"/>
          <w:sz w:val="24"/>
          <w:szCs w:val="24"/>
          <w:lang w:val="ru-RU"/>
        </w:rPr>
        <w:t xml:space="preserve"> на сто спрямо </w:t>
      </w:r>
      <w:r w:rsidRPr="00E81A6E">
        <w:rPr>
          <w:rFonts w:ascii="Times New Roman" w:hAnsi="Times New Roman" w:cs="Times New Roman"/>
          <w:sz w:val="24"/>
          <w:szCs w:val="24"/>
          <w:lang w:val="ru-RU"/>
        </w:rPr>
        <w:t xml:space="preserve">уточнения </w:t>
      </w:r>
      <w:r w:rsidR="00D21D6D" w:rsidRPr="00E81A6E">
        <w:rPr>
          <w:rFonts w:ascii="Times New Roman" w:hAnsi="Times New Roman" w:cs="Times New Roman"/>
          <w:sz w:val="24"/>
          <w:szCs w:val="24"/>
          <w:lang w:val="ru-RU"/>
        </w:rPr>
        <w:t xml:space="preserve">бюджет за годината. </w:t>
      </w:r>
      <w:r w:rsidR="00892445" w:rsidRPr="00E81A6E">
        <w:rPr>
          <w:rFonts w:ascii="Times New Roman" w:hAnsi="Times New Roman" w:cs="Times New Roman"/>
          <w:sz w:val="24"/>
          <w:szCs w:val="24"/>
          <w:lang w:val="ru-RU"/>
        </w:rPr>
        <w:t>Въпреки намалението с актуализациите, изпълнението е далеч по-малко от уточнения бюджет за годината и с 1,</w:t>
      </w:r>
      <w:r w:rsidR="006B4890" w:rsidRPr="00E81A6E">
        <w:rPr>
          <w:rFonts w:ascii="Times New Roman" w:hAnsi="Times New Roman" w:cs="Times New Roman"/>
          <w:sz w:val="24"/>
          <w:szCs w:val="24"/>
          <w:lang w:val="ru-RU"/>
        </w:rPr>
        <w:t>2</w:t>
      </w:r>
      <w:r w:rsidR="00892445" w:rsidRPr="00E81A6E">
        <w:rPr>
          <w:rFonts w:ascii="Times New Roman" w:hAnsi="Times New Roman" w:cs="Times New Roman"/>
          <w:sz w:val="24"/>
          <w:szCs w:val="24"/>
          <w:lang w:val="ru-RU"/>
        </w:rPr>
        <w:t xml:space="preserve"> млн.лв. по-малко от 2019г. Туризмът пострада много от противоепидемичните мерки</w:t>
      </w:r>
      <w:r w:rsidR="00570254" w:rsidRPr="00E81A6E">
        <w:rPr>
          <w:rFonts w:ascii="Times New Roman" w:hAnsi="Times New Roman" w:cs="Times New Roman"/>
          <w:sz w:val="24"/>
          <w:szCs w:val="24"/>
          <w:lang w:val="ru-RU"/>
        </w:rPr>
        <w:t>, от липсата на туристи и ограниче</w:t>
      </w:r>
      <w:r w:rsidR="004618E0" w:rsidRPr="00E81A6E">
        <w:rPr>
          <w:rFonts w:ascii="Times New Roman" w:hAnsi="Times New Roman" w:cs="Times New Roman"/>
          <w:sz w:val="24"/>
          <w:szCs w:val="24"/>
          <w:lang w:val="ru-RU"/>
        </w:rPr>
        <w:t>нията пред движението в месеците на карантина</w:t>
      </w:r>
      <w:r w:rsidR="00892445" w:rsidRPr="00E81A6E">
        <w:rPr>
          <w:rFonts w:ascii="Times New Roman" w:hAnsi="Times New Roman" w:cs="Times New Roman"/>
          <w:sz w:val="24"/>
          <w:szCs w:val="24"/>
          <w:lang w:val="ru-RU"/>
        </w:rPr>
        <w:t>.</w:t>
      </w:r>
    </w:p>
    <w:p w14:paraId="1D4681A7"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34E8A1B6" w14:textId="77777777" w:rsidR="00D21D6D" w:rsidRPr="00E81A6E" w:rsidRDefault="00D21D6D" w:rsidP="00F55B06">
      <w:pPr>
        <w:pStyle w:val="Heading5"/>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1.2. НЕДАНЪЧНИ ПРИХОДИ</w:t>
      </w:r>
    </w:p>
    <w:p w14:paraId="5B9085E0"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526CDC82"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Към 31.12.20</w:t>
      </w:r>
      <w:r w:rsidR="00892445" w:rsidRPr="00E81A6E">
        <w:rPr>
          <w:rFonts w:ascii="Times New Roman" w:hAnsi="Times New Roman" w:cs="Times New Roman"/>
          <w:sz w:val="24"/>
          <w:szCs w:val="24"/>
          <w:lang w:val="ru-RU"/>
        </w:rPr>
        <w:t>20</w:t>
      </w:r>
      <w:r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w:t>
      </w:r>
      <w:r w:rsidR="006B4890" w:rsidRPr="00E81A6E">
        <w:rPr>
          <w:rFonts w:ascii="Times New Roman" w:hAnsi="Times New Roman" w:cs="Times New Roman"/>
          <w:sz w:val="24"/>
          <w:szCs w:val="24"/>
          <w:lang w:val="ru-RU"/>
        </w:rPr>
        <w:t xml:space="preserve">изпълнението </w:t>
      </w:r>
      <w:r w:rsidRPr="00E81A6E">
        <w:rPr>
          <w:rFonts w:ascii="Times New Roman" w:hAnsi="Times New Roman" w:cs="Times New Roman"/>
          <w:sz w:val="24"/>
          <w:szCs w:val="24"/>
          <w:lang w:val="ru-RU"/>
        </w:rPr>
        <w:t>възлиза на 3</w:t>
      </w:r>
      <w:r w:rsidR="00892445" w:rsidRPr="00E81A6E">
        <w:rPr>
          <w:rFonts w:ascii="Times New Roman" w:hAnsi="Times New Roman" w:cs="Times New Roman"/>
          <w:sz w:val="24"/>
          <w:szCs w:val="24"/>
          <w:lang w:val="ru-RU"/>
        </w:rPr>
        <w:t>19</w:t>
      </w:r>
      <w:r w:rsidRPr="00E81A6E">
        <w:rPr>
          <w:rFonts w:ascii="Times New Roman" w:hAnsi="Times New Roman" w:cs="Times New Roman"/>
          <w:sz w:val="24"/>
          <w:szCs w:val="24"/>
          <w:lang w:val="ru-RU"/>
        </w:rPr>
        <w:t>,</w:t>
      </w:r>
      <w:r w:rsidR="00892445"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млн.лв. или </w:t>
      </w:r>
      <w:r w:rsidR="00892445" w:rsidRPr="00E81A6E">
        <w:rPr>
          <w:rFonts w:ascii="Times New Roman" w:hAnsi="Times New Roman" w:cs="Times New Roman"/>
          <w:sz w:val="24"/>
          <w:szCs w:val="24"/>
          <w:lang w:val="ru-RU"/>
        </w:rPr>
        <w:t>8</w:t>
      </w:r>
      <w:r w:rsidRPr="00E81A6E">
        <w:rPr>
          <w:rFonts w:ascii="Times New Roman" w:hAnsi="Times New Roman" w:cs="Times New Roman"/>
          <w:sz w:val="24"/>
          <w:szCs w:val="24"/>
          <w:lang w:val="bg-BG"/>
        </w:rPr>
        <w:t>5,0 на сто</w:t>
      </w:r>
      <w:r w:rsidRPr="00E81A6E">
        <w:rPr>
          <w:rFonts w:ascii="Times New Roman" w:hAnsi="Times New Roman" w:cs="Times New Roman"/>
          <w:sz w:val="24"/>
          <w:szCs w:val="24"/>
          <w:lang w:val="ru-RU"/>
        </w:rPr>
        <w:t xml:space="preserve">. </w:t>
      </w:r>
    </w:p>
    <w:p w14:paraId="355443EA" w14:textId="77777777" w:rsidR="00761206" w:rsidRPr="00E81A6E" w:rsidRDefault="00761206"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Ефектът на коронавируса е осезаем върху неданъчните приходи на столицата. Големият негативен ефект е в общинските такси. Най-голямо е свиването при таксата за ползване на детски градини  и таксата за детски ясли, което е обяснимо с факта, че те бяха затворени и няма как приходите да бъдат компенсирани в рамките на годината. Спад бележат и таксите за технически услуги, както и от тротоарно право. Последното е директно обвързано с мерките на Столична община за облекчаване на търговците, засегнати от пандемията. </w:t>
      </w:r>
    </w:p>
    <w:p w14:paraId="7CBE35EE" w14:textId="77777777" w:rsidR="00761206" w:rsidRPr="00E81A6E" w:rsidRDefault="00761206"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В общия случай това са ефекти върху бюджета, които много трудно биха могли да бъдат компенсирани, дори и при пълно отпушване на икономическата активност.             Пропуснатите такси за детски градини или за тротоарно право директно тежат като пропуснати ползи за бюджета на столицата. Таксите за технически услуги /в това число за строителни разрешения/ и за административни услуги също. </w:t>
      </w:r>
    </w:p>
    <w:p w14:paraId="2827E812" w14:textId="77777777" w:rsidR="00D21D6D" w:rsidRPr="00E81A6E" w:rsidRDefault="00116711"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lastRenderedPageBreak/>
        <w:t>Таксите са с</w:t>
      </w:r>
      <w:r w:rsidR="00D21D6D" w:rsidRPr="00E81A6E">
        <w:rPr>
          <w:rFonts w:ascii="Times New Roman" w:hAnsi="Times New Roman" w:cs="Times New Roman"/>
          <w:sz w:val="24"/>
          <w:szCs w:val="24"/>
          <w:lang w:val="ru-RU"/>
        </w:rPr>
        <w:t xml:space="preserve"> най-голям относителен дял от неданъчните приходи, постъпили по бюджета на общината към 31.12.20</w:t>
      </w:r>
      <w:r w:rsidR="00892445" w:rsidRPr="00E81A6E">
        <w:rPr>
          <w:rFonts w:ascii="Times New Roman" w:hAnsi="Times New Roman" w:cs="Times New Roman"/>
          <w:sz w:val="24"/>
          <w:szCs w:val="24"/>
          <w:lang w:val="ru-RU"/>
        </w:rPr>
        <w:t>20</w:t>
      </w:r>
      <w:r w:rsidR="00D21D6D" w:rsidRPr="00E81A6E">
        <w:rPr>
          <w:rFonts w:ascii="Times New Roman" w:hAnsi="Times New Roman" w:cs="Times New Roman"/>
          <w:sz w:val="24"/>
          <w:szCs w:val="24"/>
          <w:lang w:val="ru-RU"/>
        </w:rPr>
        <w:t xml:space="preserve">г. – </w:t>
      </w:r>
      <w:r w:rsidR="00892445" w:rsidRPr="00E81A6E">
        <w:rPr>
          <w:rFonts w:ascii="Times New Roman" w:hAnsi="Times New Roman" w:cs="Times New Roman"/>
          <w:sz w:val="24"/>
          <w:szCs w:val="24"/>
          <w:lang w:val="ru-RU"/>
        </w:rPr>
        <w:t>83</w:t>
      </w:r>
      <w:r w:rsidR="00D21D6D" w:rsidRPr="00E81A6E">
        <w:rPr>
          <w:rFonts w:ascii="Times New Roman" w:hAnsi="Times New Roman" w:cs="Times New Roman"/>
          <w:sz w:val="24"/>
          <w:szCs w:val="24"/>
          <w:lang w:val="ru-RU"/>
        </w:rPr>
        <w:t>,</w:t>
      </w:r>
      <w:r w:rsidR="00892445" w:rsidRPr="00E81A6E">
        <w:rPr>
          <w:rFonts w:ascii="Times New Roman" w:hAnsi="Times New Roman" w:cs="Times New Roman"/>
          <w:sz w:val="24"/>
          <w:szCs w:val="24"/>
          <w:lang w:val="ru-RU"/>
        </w:rPr>
        <w:t>2</w:t>
      </w:r>
      <w:r w:rsidR="00D21D6D" w:rsidRPr="00E81A6E">
        <w:rPr>
          <w:rFonts w:ascii="Times New Roman" w:hAnsi="Times New Roman" w:cs="Times New Roman"/>
          <w:sz w:val="24"/>
          <w:szCs w:val="24"/>
          <w:lang w:val="ru-RU"/>
        </w:rPr>
        <w:t xml:space="preserve"> на сто</w:t>
      </w:r>
      <w:r w:rsidRPr="00E81A6E">
        <w:rPr>
          <w:rFonts w:ascii="Times New Roman" w:hAnsi="Times New Roman" w:cs="Times New Roman"/>
          <w:sz w:val="24"/>
          <w:szCs w:val="24"/>
          <w:lang w:val="ru-RU"/>
        </w:rPr>
        <w:t>. И</w:t>
      </w:r>
      <w:r w:rsidR="00D21D6D" w:rsidRPr="00E81A6E">
        <w:rPr>
          <w:rFonts w:ascii="Times New Roman" w:hAnsi="Times New Roman" w:cs="Times New Roman"/>
          <w:sz w:val="24"/>
          <w:szCs w:val="24"/>
          <w:lang w:val="ru-RU"/>
        </w:rPr>
        <w:t>зпълнение</w:t>
      </w:r>
      <w:r w:rsidRPr="00E81A6E">
        <w:rPr>
          <w:rFonts w:ascii="Times New Roman" w:hAnsi="Times New Roman" w:cs="Times New Roman"/>
          <w:sz w:val="24"/>
          <w:szCs w:val="24"/>
          <w:lang w:val="ru-RU"/>
        </w:rPr>
        <w:t>то е</w:t>
      </w:r>
      <w:r w:rsidR="00D21D6D" w:rsidRPr="00E81A6E">
        <w:rPr>
          <w:rFonts w:ascii="Times New Roman" w:hAnsi="Times New Roman" w:cs="Times New Roman"/>
          <w:sz w:val="24"/>
          <w:szCs w:val="24"/>
          <w:lang w:val="ru-RU"/>
        </w:rPr>
        <w:t xml:space="preserve"> 2</w:t>
      </w:r>
      <w:r w:rsidR="005D7682" w:rsidRPr="00E81A6E">
        <w:rPr>
          <w:rFonts w:ascii="Times New Roman" w:hAnsi="Times New Roman" w:cs="Times New Roman"/>
          <w:sz w:val="24"/>
          <w:szCs w:val="24"/>
          <w:lang w:val="ru-RU"/>
        </w:rPr>
        <w:t>65</w:t>
      </w:r>
      <w:r w:rsidR="00D21D6D" w:rsidRPr="00E81A6E">
        <w:rPr>
          <w:rFonts w:ascii="Times New Roman" w:hAnsi="Times New Roman" w:cs="Times New Roman"/>
          <w:sz w:val="24"/>
          <w:szCs w:val="24"/>
          <w:lang w:val="ru-RU"/>
        </w:rPr>
        <w:t>,</w:t>
      </w:r>
      <w:r w:rsidR="005D7682" w:rsidRPr="00E81A6E">
        <w:rPr>
          <w:rFonts w:ascii="Times New Roman" w:hAnsi="Times New Roman" w:cs="Times New Roman"/>
          <w:sz w:val="24"/>
          <w:szCs w:val="24"/>
          <w:lang w:val="ru-RU"/>
        </w:rPr>
        <w:t>6</w:t>
      </w:r>
      <w:r w:rsidR="00647808" w:rsidRPr="00E81A6E">
        <w:rPr>
          <w:rFonts w:ascii="Times New Roman" w:hAnsi="Times New Roman" w:cs="Times New Roman"/>
          <w:sz w:val="24"/>
          <w:szCs w:val="24"/>
          <w:lang w:val="ru-RU"/>
        </w:rPr>
        <w:t xml:space="preserve"> </w:t>
      </w:r>
      <w:r w:rsidR="00D21D6D" w:rsidRPr="00E81A6E">
        <w:rPr>
          <w:rFonts w:ascii="Times New Roman" w:hAnsi="Times New Roman" w:cs="Times New Roman"/>
          <w:sz w:val="24"/>
          <w:szCs w:val="24"/>
          <w:lang w:val="ru-RU"/>
        </w:rPr>
        <w:t xml:space="preserve">млн.лв. за отчетния период </w:t>
      </w:r>
      <w:r w:rsidRPr="00E81A6E">
        <w:rPr>
          <w:rFonts w:ascii="Times New Roman" w:hAnsi="Times New Roman" w:cs="Times New Roman"/>
          <w:sz w:val="24"/>
          <w:szCs w:val="24"/>
          <w:lang w:val="ru-RU"/>
        </w:rPr>
        <w:t xml:space="preserve"> или </w:t>
      </w:r>
      <w:r w:rsidR="005D7682" w:rsidRPr="00E81A6E">
        <w:rPr>
          <w:rFonts w:ascii="Times New Roman" w:hAnsi="Times New Roman" w:cs="Times New Roman"/>
          <w:sz w:val="24"/>
          <w:szCs w:val="24"/>
          <w:lang w:val="ru-RU"/>
        </w:rPr>
        <w:t>93</w:t>
      </w:r>
      <w:r w:rsidR="00D21D6D" w:rsidRPr="00E81A6E">
        <w:rPr>
          <w:rFonts w:ascii="Times New Roman" w:hAnsi="Times New Roman" w:cs="Times New Roman"/>
          <w:sz w:val="24"/>
          <w:szCs w:val="24"/>
          <w:lang w:val="ru-RU"/>
        </w:rPr>
        <w:t>,</w:t>
      </w:r>
      <w:r w:rsidR="005D7682" w:rsidRPr="00E81A6E">
        <w:rPr>
          <w:rFonts w:ascii="Times New Roman" w:hAnsi="Times New Roman" w:cs="Times New Roman"/>
          <w:sz w:val="24"/>
          <w:szCs w:val="24"/>
          <w:lang w:val="ru-RU"/>
        </w:rPr>
        <w:t>8</w:t>
      </w:r>
      <w:r w:rsidR="00D21D6D" w:rsidRPr="00E81A6E">
        <w:rPr>
          <w:rFonts w:ascii="Times New Roman" w:hAnsi="Times New Roman" w:cs="Times New Roman"/>
          <w:sz w:val="24"/>
          <w:szCs w:val="24"/>
          <w:lang w:val="ru-RU"/>
        </w:rPr>
        <w:t xml:space="preserve"> на сто.</w:t>
      </w:r>
      <w:r w:rsidR="00647808" w:rsidRPr="00E81A6E">
        <w:rPr>
          <w:rFonts w:ascii="Times New Roman" w:hAnsi="Times New Roman" w:cs="Times New Roman"/>
          <w:sz w:val="24"/>
          <w:szCs w:val="24"/>
          <w:lang w:val="ru-RU"/>
        </w:rPr>
        <w:t xml:space="preserve"> </w:t>
      </w:r>
    </w:p>
    <w:p w14:paraId="1DFEB0B7"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4ECE1C78"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Изпълнение на основни видове такси:</w:t>
      </w:r>
    </w:p>
    <w:p w14:paraId="54270614" w14:textId="77777777" w:rsidR="00227C99" w:rsidRPr="00E81A6E" w:rsidRDefault="00227C99" w:rsidP="00F55B06">
      <w:pPr>
        <w:pStyle w:val="Heading7"/>
        <w:spacing w:before="0" w:line="240" w:lineRule="auto"/>
        <w:ind w:firstLine="720"/>
        <w:contextualSpacing/>
        <w:jc w:val="both"/>
        <w:rPr>
          <w:rFonts w:ascii="Times New Roman" w:hAnsi="Times New Roman" w:cs="Times New Roman"/>
          <w:color w:val="auto"/>
          <w:sz w:val="24"/>
          <w:szCs w:val="24"/>
          <w:lang w:val="ru-RU"/>
        </w:rPr>
      </w:pPr>
    </w:p>
    <w:p w14:paraId="782108FA"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Битови отпадъци</w:t>
      </w:r>
    </w:p>
    <w:p w14:paraId="26624540"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Отчетът към 31.12.20</w:t>
      </w:r>
      <w:r w:rsidR="00B4172C" w:rsidRPr="00E81A6E">
        <w:rPr>
          <w:rFonts w:ascii="Times New Roman" w:hAnsi="Times New Roman" w:cs="Times New Roman"/>
          <w:sz w:val="24"/>
          <w:szCs w:val="24"/>
        </w:rPr>
        <w:t>20</w:t>
      </w:r>
      <w:r w:rsidRPr="00E81A6E">
        <w:rPr>
          <w:rFonts w:ascii="Times New Roman" w:hAnsi="Times New Roman" w:cs="Times New Roman"/>
          <w:sz w:val="24"/>
          <w:szCs w:val="24"/>
          <w:lang w:val="ru-RU"/>
        </w:rPr>
        <w:t>г. е 22</w:t>
      </w:r>
      <w:r w:rsidR="00B4172C" w:rsidRPr="00E81A6E">
        <w:rPr>
          <w:rFonts w:ascii="Times New Roman" w:hAnsi="Times New Roman" w:cs="Times New Roman"/>
          <w:sz w:val="24"/>
          <w:szCs w:val="24"/>
        </w:rPr>
        <w:t>4</w:t>
      </w:r>
      <w:r w:rsidRPr="00E81A6E">
        <w:rPr>
          <w:rFonts w:ascii="Times New Roman" w:hAnsi="Times New Roman" w:cs="Times New Roman"/>
          <w:sz w:val="24"/>
          <w:szCs w:val="24"/>
          <w:lang w:val="ru-RU"/>
        </w:rPr>
        <w:t>,</w:t>
      </w:r>
      <w:r w:rsidR="00307A3E"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 xml:space="preserve"> млн.лв. при разчет по бюджета за годината 2</w:t>
      </w:r>
      <w:r w:rsidR="00B4172C" w:rsidRPr="00E81A6E">
        <w:rPr>
          <w:rFonts w:ascii="Times New Roman" w:hAnsi="Times New Roman" w:cs="Times New Roman"/>
          <w:sz w:val="24"/>
          <w:szCs w:val="24"/>
        </w:rPr>
        <w:t>24</w:t>
      </w:r>
      <w:r w:rsidR="00586508" w:rsidRPr="00E81A6E">
        <w:rPr>
          <w:rFonts w:ascii="Times New Roman" w:hAnsi="Times New Roman" w:cs="Times New Roman"/>
          <w:sz w:val="24"/>
          <w:szCs w:val="24"/>
          <w:lang w:val="bg-BG"/>
        </w:rPr>
        <w:t>,4</w:t>
      </w:r>
      <w:r w:rsidRPr="00E81A6E">
        <w:rPr>
          <w:rFonts w:ascii="Times New Roman" w:hAnsi="Times New Roman" w:cs="Times New Roman"/>
          <w:sz w:val="24"/>
          <w:szCs w:val="24"/>
          <w:lang w:val="ru-RU"/>
        </w:rPr>
        <w:t xml:space="preserve"> млн.лв., или 1</w:t>
      </w:r>
      <w:r w:rsidR="00B4172C" w:rsidRPr="00E81A6E">
        <w:rPr>
          <w:rFonts w:ascii="Times New Roman" w:hAnsi="Times New Roman" w:cs="Times New Roman"/>
          <w:sz w:val="24"/>
          <w:szCs w:val="24"/>
        </w:rPr>
        <w:t>00</w:t>
      </w:r>
      <w:r w:rsidRPr="00E81A6E">
        <w:rPr>
          <w:rFonts w:ascii="Times New Roman" w:hAnsi="Times New Roman" w:cs="Times New Roman"/>
          <w:sz w:val="24"/>
          <w:szCs w:val="24"/>
          <w:lang w:val="ru-RU"/>
        </w:rPr>
        <w:t>,</w:t>
      </w:r>
      <w:r w:rsidR="00B4172C" w:rsidRPr="00E81A6E">
        <w:rPr>
          <w:rFonts w:ascii="Times New Roman" w:hAnsi="Times New Roman" w:cs="Times New Roman"/>
          <w:sz w:val="24"/>
          <w:szCs w:val="24"/>
        </w:rPr>
        <w:t>0</w:t>
      </w:r>
      <w:r w:rsidRPr="00E81A6E">
        <w:rPr>
          <w:rFonts w:ascii="Times New Roman" w:hAnsi="Times New Roman" w:cs="Times New Roman"/>
          <w:sz w:val="24"/>
          <w:szCs w:val="24"/>
          <w:lang w:val="ru-RU"/>
        </w:rPr>
        <w:t xml:space="preserve"> на сто. Изпълнението е с </w:t>
      </w:r>
      <w:r w:rsidR="00B4172C" w:rsidRPr="00E81A6E">
        <w:rPr>
          <w:rFonts w:ascii="Times New Roman" w:hAnsi="Times New Roman" w:cs="Times New Roman"/>
          <w:sz w:val="24"/>
          <w:szCs w:val="24"/>
        </w:rPr>
        <w:t>509,0</w:t>
      </w:r>
      <w:r w:rsidRPr="00E81A6E">
        <w:rPr>
          <w:rFonts w:ascii="Times New Roman" w:hAnsi="Times New Roman" w:cs="Times New Roman"/>
          <w:sz w:val="24"/>
          <w:szCs w:val="24"/>
          <w:lang w:val="ru-RU"/>
        </w:rPr>
        <w:t xml:space="preserve"> </w:t>
      </w:r>
      <w:r w:rsidR="00B4172C" w:rsidRPr="00E81A6E">
        <w:rPr>
          <w:rFonts w:ascii="Times New Roman" w:hAnsi="Times New Roman" w:cs="Times New Roman"/>
          <w:sz w:val="24"/>
          <w:szCs w:val="24"/>
          <w:lang w:val="bg-BG"/>
        </w:rPr>
        <w:t>хил</w:t>
      </w:r>
      <w:r w:rsidRPr="00E81A6E">
        <w:rPr>
          <w:rFonts w:ascii="Times New Roman" w:hAnsi="Times New Roman" w:cs="Times New Roman"/>
          <w:sz w:val="24"/>
          <w:szCs w:val="24"/>
          <w:lang w:val="ru-RU"/>
        </w:rPr>
        <w:t>.лв. повече от същия период на 201</w:t>
      </w:r>
      <w:r w:rsidR="00B4172C"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 xml:space="preserve">г. </w:t>
      </w:r>
    </w:p>
    <w:p w14:paraId="2307676B"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За повишаване събираемостта п</w:t>
      </w:r>
      <w:r w:rsidRPr="00E81A6E">
        <w:rPr>
          <w:rFonts w:ascii="Times New Roman" w:hAnsi="Times New Roman" w:cs="Times New Roman"/>
          <w:sz w:val="24"/>
          <w:szCs w:val="24"/>
          <w:lang w:val="ru-RU"/>
        </w:rPr>
        <w:t>ри такса битови отпадъци</w:t>
      </w:r>
      <w:r w:rsidRPr="00E81A6E">
        <w:rPr>
          <w:rFonts w:ascii="Times New Roman" w:hAnsi="Times New Roman" w:cs="Times New Roman"/>
          <w:sz w:val="24"/>
          <w:szCs w:val="24"/>
          <w:lang w:val="bg-BG"/>
        </w:rPr>
        <w:t>, аналогично както при данък върху недвижимите имоти,</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допринася</w:t>
      </w:r>
      <w:r w:rsidRPr="00E81A6E">
        <w:rPr>
          <w:rFonts w:ascii="Times New Roman" w:hAnsi="Times New Roman" w:cs="Times New Roman"/>
          <w:sz w:val="24"/>
          <w:szCs w:val="24"/>
          <w:lang w:val="ru-RU"/>
        </w:rPr>
        <w:t xml:space="preserve"> законодателната промяна на чл.169, ал.3а от ДОПК, съгласно която задълженията се събират по реда на възникване.</w:t>
      </w:r>
    </w:p>
    <w:p w14:paraId="6E172C11"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0A026ADC"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Ползване на пазари, тържища, панаири, тротоари, площади и улични платна</w:t>
      </w:r>
    </w:p>
    <w:p w14:paraId="19CA35F1"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към 31.12.20</w:t>
      </w:r>
      <w:r w:rsidR="00B4172C"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е </w:t>
      </w:r>
      <w:r w:rsidR="00B4172C"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B4172C"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млн.лв., при </w:t>
      </w:r>
      <w:r w:rsidR="00647808" w:rsidRPr="00E81A6E">
        <w:rPr>
          <w:rFonts w:ascii="Times New Roman" w:hAnsi="Times New Roman" w:cs="Times New Roman"/>
          <w:sz w:val="24"/>
          <w:szCs w:val="24"/>
          <w:lang w:val="ru-RU"/>
        </w:rPr>
        <w:t xml:space="preserve">уточнен /актуализиран/ </w:t>
      </w:r>
      <w:r w:rsidRPr="00E81A6E">
        <w:rPr>
          <w:rFonts w:ascii="Times New Roman" w:hAnsi="Times New Roman" w:cs="Times New Roman"/>
          <w:sz w:val="24"/>
          <w:szCs w:val="24"/>
          <w:lang w:val="ru-RU"/>
        </w:rPr>
        <w:t xml:space="preserve">бюджет за годината </w:t>
      </w:r>
      <w:r w:rsidR="00B4172C"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B4172C"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млн.лв. или </w:t>
      </w:r>
      <w:r w:rsidR="00B4172C" w:rsidRPr="00E81A6E">
        <w:rPr>
          <w:rFonts w:ascii="Times New Roman" w:hAnsi="Times New Roman" w:cs="Times New Roman"/>
          <w:sz w:val="24"/>
          <w:szCs w:val="24"/>
          <w:lang w:val="ru-RU"/>
        </w:rPr>
        <w:t>100</w:t>
      </w:r>
      <w:r w:rsidRPr="00E81A6E">
        <w:rPr>
          <w:rFonts w:ascii="Times New Roman" w:hAnsi="Times New Roman" w:cs="Times New Roman"/>
          <w:sz w:val="24"/>
          <w:szCs w:val="24"/>
          <w:lang w:val="ru-RU"/>
        </w:rPr>
        <w:t>,</w:t>
      </w:r>
      <w:r w:rsidR="008D631F"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 xml:space="preserve"> на сто. Изпълнението е по-</w:t>
      </w:r>
      <w:r w:rsidR="00B4172C" w:rsidRPr="00E81A6E">
        <w:rPr>
          <w:rFonts w:ascii="Times New Roman" w:hAnsi="Times New Roman" w:cs="Times New Roman"/>
          <w:sz w:val="24"/>
          <w:szCs w:val="24"/>
          <w:lang w:val="ru-RU"/>
        </w:rPr>
        <w:t>малко</w:t>
      </w:r>
      <w:r w:rsidRPr="00E81A6E">
        <w:rPr>
          <w:rFonts w:ascii="Times New Roman" w:hAnsi="Times New Roman" w:cs="Times New Roman"/>
          <w:sz w:val="24"/>
          <w:szCs w:val="24"/>
          <w:lang w:val="ru-RU"/>
        </w:rPr>
        <w:t xml:space="preserve"> от същия период на 201</w:t>
      </w:r>
      <w:r w:rsidR="00B4172C" w:rsidRPr="00E81A6E">
        <w:rPr>
          <w:rFonts w:ascii="Times New Roman" w:hAnsi="Times New Roman" w:cs="Times New Roman"/>
          <w:sz w:val="24"/>
          <w:szCs w:val="24"/>
          <w:lang w:val="ru-RU"/>
        </w:rPr>
        <w:t>9</w:t>
      </w:r>
      <w:r w:rsidR="00E0710A" w:rsidRPr="00E81A6E">
        <w:rPr>
          <w:rFonts w:ascii="Times New Roman" w:hAnsi="Times New Roman" w:cs="Times New Roman"/>
          <w:sz w:val="24"/>
          <w:szCs w:val="24"/>
          <w:lang w:val="ru-RU"/>
        </w:rPr>
        <w:t>г. с</w:t>
      </w:r>
      <w:r w:rsidRPr="00E81A6E">
        <w:rPr>
          <w:rFonts w:ascii="Times New Roman" w:hAnsi="Times New Roman" w:cs="Times New Roman"/>
          <w:sz w:val="24"/>
          <w:szCs w:val="24"/>
          <w:lang w:val="ru-RU"/>
        </w:rPr>
        <w:t xml:space="preserve"> </w:t>
      </w:r>
      <w:r w:rsidR="00B4172C" w:rsidRPr="00E81A6E">
        <w:rPr>
          <w:rFonts w:ascii="Times New Roman" w:hAnsi="Times New Roman" w:cs="Times New Roman"/>
          <w:sz w:val="24"/>
          <w:szCs w:val="24"/>
          <w:lang w:val="ru-RU"/>
        </w:rPr>
        <w:t>1,1млн</w:t>
      </w:r>
      <w:r w:rsidRPr="00E81A6E">
        <w:rPr>
          <w:rFonts w:ascii="Times New Roman" w:hAnsi="Times New Roman" w:cs="Times New Roman"/>
          <w:sz w:val="24"/>
          <w:szCs w:val="24"/>
          <w:lang w:val="ru-RU"/>
        </w:rPr>
        <w:t>.лв.</w:t>
      </w:r>
    </w:p>
    <w:p w14:paraId="7D8424FB"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518BA77F"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Ползване на детски градини</w:t>
      </w:r>
    </w:p>
    <w:p w14:paraId="75A585C8"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При </w:t>
      </w:r>
      <w:r w:rsidR="00647808" w:rsidRPr="00E81A6E">
        <w:rPr>
          <w:rFonts w:ascii="Times New Roman" w:hAnsi="Times New Roman" w:cs="Times New Roman"/>
          <w:sz w:val="24"/>
          <w:szCs w:val="24"/>
          <w:lang w:val="ru-RU"/>
        </w:rPr>
        <w:t>ут</w:t>
      </w:r>
      <w:r w:rsidR="00215828" w:rsidRPr="00E81A6E">
        <w:rPr>
          <w:rFonts w:ascii="Times New Roman" w:hAnsi="Times New Roman" w:cs="Times New Roman"/>
          <w:sz w:val="24"/>
          <w:szCs w:val="24"/>
          <w:lang w:val="ru-RU"/>
        </w:rPr>
        <w:t>о</w:t>
      </w:r>
      <w:r w:rsidR="00647808" w:rsidRPr="00E81A6E">
        <w:rPr>
          <w:rFonts w:ascii="Times New Roman" w:hAnsi="Times New Roman" w:cs="Times New Roman"/>
          <w:sz w:val="24"/>
          <w:szCs w:val="24"/>
          <w:lang w:val="ru-RU"/>
        </w:rPr>
        <w:t xml:space="preserve">чнен </w:t>
      </w:r>
      <w:r w:rsidRPr="00E81A6E">
        <w:rPr>
          <w:rFonts w:ascii="Times New Roman" w:hAnsi="Times New Roman" w:cs="Times New Roman"/>
          <w:sz w:val="24"/>
          <w:szCs w:val="24"/>
          <w:lang w:val="ru-RU"/>
        </w:rPr>
        <w:t xml:space="preserve">бюджет за годината </w:t>
      </w:r>
      <w:r w:rsidR="00074192" w:rsidRPr="00E81A6E">
        <w:rPr>
          <w:rFonts w:ascii="Times New Roman" w:hAnsi="Times New Roman" w:cs="Times New Roman"/>
          <w:sz w:val="24"/>
          <w:szCs w:val="24"/>
          <w:lang w:val="ru-RU"/>
        </w:rPr>
        <w:t>12</w:t>
      </w:r>
      <w:r w:rsidRPr="00E81A6E">
        <w:rPr>
          <w:rFonts w:ascii="Times New Roman" w:hAnsi="Times New Roman" w:cs="Times New Roman"/>
          <w:sz w:val="24"/>
          <w:szCs w:val="24"/>
          <w:lang w:val="ru-RU"/>
        </w:rPr>
        <w:t>,</w:t>
      </w:r>
      <w:r w:rsidR="00074192"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 xml:space="preserve"> млн.лв. са постъпили </w:t>
      </w:r>
      <w:r w:rsidR="00074192"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w:t>
      </w:r>
      <w:r w:rsidR="00074192"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 или </w:t>
      </w:r>
      <w:r w:rsidR="00074192" w:rsidRPr="00E81A6E">
        <w:rPr>
          <w:rFonts w:ascii="Times New Roman" w:hAnsi="Times New Roman" w:cs="Times New Roman"/>
          <w:sz w:val="24"/>
          <w:szCs w:val="24"/>
          <w:lang w:val="ru-RU"/>
        </w:rPr>
        <w:t>72</w:t>
      </w:r>
      <w:r w:rsidRPr="00E81A6E">
        <w:rPr>
          <w:rFonts w:ascii="Times New Roman" w:hAnsi="Times New Roman" w:cs="Times New Roman"/>
          <w:sz w:val="24"/>
          <w:szCs w:val="24"/>
          <w:lang w:val="ru-RU"/>
        </w:rPr>
        <w:t>,</w:t>
      </w:r>
      <w:r w:rsidR="00074192"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 xml:space="preserve"> на сто. Спрямо същия период на 201</w:t>
      </w:r>
      <w:r w:rsidR="00074192"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 xml:space="preserve">г. са постъпили </w:t>
      </w:r>
      <w:r w:rsidR="005352F0"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5352F0"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 xml:space="preserve"> </w:t>
      </w:r>
      <w:r w:rsidR="005352F0" w:rsidRPr="00E81A6E">
        <w:rPr>
          <w:rFonts w:ascii="Times New Roman" w:hAnsi="Times New Roman" w:cs="Times New Roman"/>
          <w:sz w:val="24"/>
          <w:szCs w:val="24"/>
          <w:lang w:val="ru-RU"/>
        </w:rPr>
        <w:t>млн</w:t>
      </w:r>
      <w:r w:rsidRPr="00E81A6E">
        <w:rPr>
          <w:rFonts w:ascii="Times New Roman" w:hAnsi="Times New Roman" w:cs="Times New Roman"/>
          <w:sz w:val="24"/>
          <w:szCs w:val="24"/>
          <w:lang w:val="ru-RU"/>
        </w:rPr>
        <w:t>.лв. по-</w:t>
      </w:r>
      <w:r w:rsidRPr="00E81A6E">
        <w:rPr>
          <w:rFonts w:ascii="Times New Roman" w:hAnsi="Times New Roman" w:cs="Times New Roman"/>
          <w:sz w:val="24"/>
          <w:szCs w:val="24"/>
          <w:lang w:val="bg-BG"/>
        </w:rPr>
        <w:t>малко</w:t>
      </w:r>
      <w:r w:rsidRPr="00E81A6E">
        <w:rPr>
          <w:rFonts w:ascii="Times New Roman" w:hAnsi="Times New Roman" w:cs="Times New Roman"/>
          <w:sz w:val="24"/>
          <w:szCs w:val="24"/>
          <w:lang w:val="ru-RU"/>
        </w:rPr>
        <w:t xml:space="preserve">. </w:t>
      </w:r>
      <w:r w:rsidR="00647808" w:rsidRPr="00E81A6E">
        <w:rPr>
          <w:rFonts w:ascii="Times New Roman" w:hAnsi="Times New Roman" w:cs="Times New Roman"/>
          <w:sz w:val="24"/>
          <w:szCs w:val="24"/>
          <w:lang w:val="ru-RU"/>
        </w:rPr>
        <w:t xml:space="preserve">Детските заведения останаха затворени през месеците на извънредна епидемична обстановка. </w:t>
      </w:r>
      <w:r w:rsidRPr="00E81A6E">
        <w:rPr>
          <w:rFonts w:ascii="Times New Roman" w:hAnsi="Times New Roman" w:cs="Times New Roman"/>
          <w:sz w:val="24"/>
          <w:szCs w:val="24"/>
          <w:lang w:val="ru-RU"/>
        </w:rPr>
        <w:t xml:space="preserve">От м. </w:t>
      </w:r>
      <w:r w:rsidR="00647808" w:rsidRPr="00E81A6E">
        <w:rPr>
          <w:rFonts w:ascii="Times New Roman" w:hAnsi="Times New Roman" w:cs="Times New Roman"/>
          <w:sz w:val="24"/>
          <w:szCs w:val="24"/>
          <w:lang w:val="ru-RU"/>
        </w:rPr>
        <w:t>Д</w:t>
      </w:r>
      <w:r w:rsidRPr="00E81A6E">
        <w:rPr>
          <w:rFonts w:ascii="Times New Roman" w:hAnsi="Times New Roman" w:cs="Times New Roman"/>
          <w:sz w:val="24"/>
          <w:szCs w:val="24"/>
          <w:lang w:val="ru-RU"/>
        </w:rPr>
        <w:t>екември 2019г. се заплащат само реалните посещения в детските заведения.</w:t>
      </w:r>
    </w:p>
    <w:p w14:paraId="6A0A30E8"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240319D0"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Технически услуги</w:t>
      </w:r>
    </w:p>
    <w:p w14:paraId="2601F8C3"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към 31.12.20</w:t>
      </w:r>
      <w:r w:rsidR="00EE71C6"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е </w:t>
      </w:r>
      <w:r w:rsidR="00EE71C6" w:rsidRPr="00E81A6E">
        <w:rPr>
          <w:rFonts w:ascii="Times New Roman" w:hAnsi="Times New Roman" w:cs="Times New Roman"/>
          <w:sz w:val="24"/>
          <w:szCs w:val="24"/>
          <w:lang w:val="ru-RU"/>
        </w:rPr>
        <w:t>65</w:t>
      </w:r>
      <w:r w:rsidRPr="00E81A6E">
        <w:rPr>
          <w:rFonts w:ascii="Times New Roman" w:hAnsi="Times New Roman" w:cs="Times New Roman"/>
          <w:sz w:val="24"/>
          <w:szCs w:val="24"/>
          <w:lang w:val="ru-RU"/>
        </w:rPr>
        <w:t>,</w:t>
      </w:r>
      <w:r w:rsidR="00EE71C6"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 xml:space="preserve"> на сто. Постъпленията са </w:t>
      </w:r>
      <w:r w:rsidR="00EE71C6" w:rsidRPr="00E81A6E">
        <w:rPr>
          <w:rFonts w:ascii="Times New Roman" w:hAnsi="Times New Roman" w:cs="Times New Roman"/>
          <w:sz w:val="24"/>
          <w:szCs w:val="24"/>
          <w:lang w:val="ru-RU"/>
        </w:rPr>
        <w:t>19</w:t>
      </w:r>
      <w:r w:rsidRPr="00E81A6E">
        <w:rPr>
          <w:rFonts w:ascii="Times New Roman" w:hAnsi="Times New Roman" w:cs="Times New Roman"/>
          <w:sz w:val="24"/>
          <w:szCs w:val="24"/>
          <w:lang w:val="ru-RU"/>
        </w:rPr>
        <w:t>,</w:t>
      </w:r>
      <w:r w:rsidR="00EE71C6"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 xml:space="preserve"> млн.лв. По този приходен параграф постъпват и таксите за строителни разрешения, като за 20</w:t>
      </w:r>
      <w:r w:rsidR="00116711"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от тях са постъпили </w:t>
      </w:r>
      <w:r w:rsidR="00C63FC0"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w:t>
      </w:r>
      <w:r w:rsidR="00C63FC0"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 </w:t>
      </w:r>
    </w:p>
    <w:p w14:paraId="34B10D28"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075299D7"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Притежаване на куче</w:t>
      </w:r>
    </w:p>
    <w:p w14:paraId="06E48C93"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разчет за годината 1</w:t>
      </w:r>
      <w:r w:rsidR="00805B7D"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0 хил. лв., са постъпили 1</w:t>
      </w:r>
      <w:r w:rsidR="00805B7D" w:rsidRPr="00E81A6E">
        <w:rPr>
          <w:rFonts w:ascii="Times New Roman" w:hAnsi="Times New Roman" w:cs="Times New Roman"/>
          <w:sz w:val="24"/>
          <w:szCs w:val="24"/>
          <w:lang w:val="ru-RU"/>
        </w:rPr>
        <w:t>45</w:t>
      </w:r>
      <w:r w:rsidRPr="00E81A6E">
        <w:rPr>
          <w:rFonts w:ascii="Times New Roman" w:hAnsi="Times New Roman" w:cs="Times New Roman"/>
          <w:sz w:val="24"/>
          <w:szCs w:val="24"/>
          <w:lang w:val="ru-RU"/>
        </w:rPr>
        <w:t>,</w:t>
      </w:r>
      <w:r w:rsidR="00805B7D" w:rsidRPr="00E81A6E">
        <w:rPr>
          <w:rFonts w:ascii="Times New Roman" w:hAnsi="Times New Roman" w:cs="Times New Roman"/>
          <w:sz w:val="24"/>
          <w:szCs w:val="24"/>
          <w:lang w:val="ru-RU"/>
        </w:rPr>
        <w:t>7</w:t>
      </w:r>
      <w:r w:rsidRPr="00E81A6E">
        <w:rPr>
          <w:rFonts w:ascii="Times New Roman" w:hAnsi="Times New Roman" w:cs="Times New Roman"/>
          <w:sz w:val="24"/>
          <w:szCs w:val="24"/>
          <w:lang w:val="ru-RU"/>
        </w:rPr>
        <w:t xml:space="preserve"> хил. лв. или </w:t>
      </w:r>
      <w:r w:rsidR="00805B7D" w:rsidRPr="00E81A6E">
        <w:rPr>
          <w:rFonts w:ascii="Times New Roman" w:hAnsi="Times New Roman" w:cs="Times New Roman"/>
          <w:sz w:val="24"/>
          <w:szCs w:val="24"/>
          <w:lang w:val="ru-RU"/>
        </w:rPr>
        <w:t>91</w:t>
      </w:r>
      <w:r w:rsidRPr="00E81A6E">
        <w:rPr>
          <w:rFonts w:ascii="Times New Roman" w:hAnsi="Times New Roman" w:cs="Times New Roman"/>
          <w:sz w:val="24"/>
          <w:szCs w:val="24"/>
          <w:lang w:val="ru-RU"/>
        </w:rPr>
        <w:t>,</w:t>
      </w:r>
      <w:r w:rsidR="00805B7D"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на сто. При анализ на приходите от тази такса трябва да се отчете и нормативно дадената възможност за освобождаването от такса на значителен брой животни. </w:t>
      </w:r>
    </w:p>
    <w:p w14:paraId="08F1911D" w14:textId="77777777" w:rsidR="00227C99" w:rsidRPr="00E81A6E" w:rsidRDefault="00227C99" w:rsidP="00F55B06">
      <w:pPr>
        <w:spacing w:after="0" w:line="240" w:lineRule="auto"/>
        <w:ind w:firstLine="720"/>
        <w:contextualSpacing/>
        <w:jc w:val="both"/>
        <w:rPr>
          <w:rFonts w:ascii="Times New Roman" w:hAnsi="Times New Roman" w:cs="Times New Roman"/>
          <w:sz w:val="24"/>
          <w:szCs w:val="24"/>
          <w:lang w:val="ru-RU"/>
        </w:rPr>
      </w:pPr>
    </w:p>
    <w:p w14:paraId="3658B15E"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Други общински такси</w:t>
      </w:r>
    </w:p>
    <w:p w14:paraId="039946F5"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Бюджетът е 1,0 </w:t>
      </w:r>
      <w:r w:rsidR="007E665B" w:rsidRPr="00E81A6E">
        <w:rPr>
          <w:rFonts w:ascii="Times New Roman" w:hAnsi="Times New Roman" w:cs="Times New Roman"/>
          <w:sz w:val="24"/>
          <w:szCs w:val="24"/>
          <w:lang w:val="ru-RU"/>
        </w:rPr>
        <w:t>млн</w:t>
      </w:r>
      <w:r w:rsidRPr="00E81A6E">
        <w:rPr>
          <w:rFonts w:ascii="Times New Roman" w:hAnsi="Times New Roman" w:cs="Times New Roman"/>
          <w:sz w:val="24"/>
          <w:szCs w:val="24"/>
          <w:lang w:val="ru-RU"/>
        </w:rPr>
        <w:t>. лв. за 20</w:t>
      </w:r>
      <w:r w:rsidR="007E665B"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Изпълнението е </w:t>
      </w:r>
      <w:r w:rsidR="007E665B" w:rsidRPr="00E81A6E">
        <w:rPr>
          <w:rFonts w:ascii="Times New Roman" w:hAnsi="Times New Roman" w:cs="Times New Roman"/>
          <w:sz w:val="24"/>
          <w:szCs w:val="24"/>
          <w:lang w:val="ru-RU"/>
        </w:rPr>
        <w:t>63</w:t>
      </w:r>
      <w:r w:rsidRPr="00E81A6E">
        <w:rPr>
          <w:rFonts w:ascii="Times New Roman" w:hAnsi="Times New Roman" w:cs="Times New Roman"/>
          <w:sz w:val="24"/>
          <w:szCs w:val="24"/>
          <w:lang w:val="ru-RU"/>
        </w:rPr>
        <w:t>,</w:t>
      </w:r>
      <w:r w:rsidR="007E665B"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 xml:space="preserve"> на сто. По този параграф постъпват такси за лицензи, за разрешения за провеждане на мероприятия, приходи от маршрутна дейност, такса категоризация, такса за отсичане на дървета о</w:t>
      </w:r>
      <w:r w:rsidR="003E4DE0" w:rsidRPr="00E81A6E">
        <w:rPr>
          <w:rFonts w:ascii="Times New Roman" w:hAnsi="Times New Roman" w:cs="Times New Roman"/>
          <w:sz w:val="24"/>
          <w:szCs w:val="24"/>
          <w:lang w:val="ru-RU"/>
        </w:rPr>
        <w:t>т ОбП “Общински земи и гори”,</w:t>
      </w:r>
      <w:r w:rsidR="00C93799"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 и др. </w:t>
      </w:r>
    </w:p>
    <w:p w14:paraId="2A43D662" w14:textId="77777777" w:rsidR="00760744" w:rsidRPr="00E81A6E" w:rsidRDefault="00760744" w:rsidP="00F55B06">
      <w:pPr>
        <w:spacing w:after="0" w:line="240" w:lineRule="auto"/>
        <w:ind w:firstLine="720"/>
        <w:contextualSpacing/>
        <w:jc w:val="both"/>
        <w:rPr>
          <w:rFonts w:ascii="Times New Roman" w:hAnsi="Times New Roman" w:cs="Times New Roman"/>
          <w:sz w:val="24"/>
          <w:szCs w:val="24"/>
          <w:lang w:val="ru-RU"/>
        </w:rPr>
      </w:pPr>
    </w:p>
    <w:p w14:paraId="07843BFB"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Глоби, санкции и наказателни лихви. </w:t>
      </w:r>
    </w:p>
    <w:p w14:paraId="76FDBF82" w14:textId="77777777" w:rsidR="00760744" w:rsidRPr="00E81A6E" w:rsidRDefault="00760744" w:rsidP="00F55B06">
      <w:pPr>
        <w:spacing w:after="0" w:line="240" w:lineRule="auto"/>
        <w:ind w:firstLine="720"/>
        <w:contextualSpacing/>
        <w:jc w:val="both"/>
        <w:rPr>
          <w:rFonts w:ascii="Times New Roman" w:hAnsi="Times New Roman" w:cs="Times New Roman"/>
          <w:sz w:val="24"/>
          <w:szCs w:val="24"/>
          <w:lang w:val="ru-RU"/>
        </w:rPr>
      </w:pPr>
    </w:p>
    <w:p w14:paraId="7FA8C852"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към 31.12.20</w:t>
      </w:r>
      <w:r w:rsidR="008E2618"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е </w:t>
      </w:r>
      <w:r w:rsidR="008E2618" w:rsidRPr="00E81A6E">
        <w:rPr>
          <w:rFonts w:ascii="Times New Roman" w:hAnsi="Times New Roman" w:cs="Times New Roman"/>
          <w:sz w:val="24"/>
          <w:szCs w:val="24"/>
          <w:lang w:val="ru-RU"/>
        </w:rPr>
        <w:t>19</w:t>
      </w:r>
      <w:r w:rsidRPr="00E81A6E">
        <w:rPr>
          <w:rFonts w:ascii="Times New Roman" w:hAnsi="Times New Roman" w:cs="Times New Roman"/>
          <w:sz w:val="24"/>
          <w:szCs w:val="24"/>
          <w:lang w:val="ru-RU"/>
        </w:rPr>
        <w:t>,</w:t>
      </w:r>
      <w:r w:rsidR="008E2618"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 xml:space="preserve"> млн.лв. или </w:t>
      </w:r>
      <w:r w:rsidR="008E2618" w:rsidRPr="00E81A6E">
        <w:rPr>
          <w:rFonts w:ascii="Times New Roman" w:hAnsi="Times New Roman" w:cs="Times New Roman"/>
          <w:sz w:val="24"/>
          <w:szCs w:val="24"/>
          <w:lang w:val="ru-RU"/>
        </w:rPr>
        <w:t>78</w:t>
      </w:r>
      <w:r w:rsidRPr="00E81A6E">
        <w:rPr>
          <w:rFonts w:ascii="Times New Roman" w:hAnsi="Times New Roman" w:cs="Times New Roman"/>
          <w:sz w:val="24"/>
          <w:szCs w:val="24"/>
          <w:lang w:val="ru-RU"/>
        </w:rPr>
        <w:t>,</w:t>
      </w:r>
      <w:r w:rsidR="008E2618"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 xml:space="preserve"> на сто. </w:t>
      </w:r>
    </w:p>
    <w:p w14:paraId="0919F9CA" w14:textId="77777777" w:rsidR="00D21D6D" w:rsidRPr="00E81A6E" w:rsidRDefault="00D21D6D" w:rsidP="00F55B06">
      <w:pPr>
        <w:pStyle w:val="Heading6"/>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Други неданъчни приходи</w:t>
      </w:r>
    </w:p>
    <w:p w14:paraId="44906192" w14:textId="77777777" w:rsidR="00760744" w:rsidRPr="00E81A6E" w:rsidRDefault="00760744" w:rsidP="00F55B06">
      <w:pPr>
        <w:spacing w:after="0" w:line="240" w:lineRule="auto"/>
        <w:ind w:firstLine="720"/>
        <w:contextualSpacing/>
        <w:jc w:val="both"/>
        <w:rPr>
          <w:rFonts w:ascii="Times New Roman" w:hAnsi="Times New Roman" w:cs="Times New Roman"/>
          <w:b/>
          <w:sz w:val="24"/>
          <w:szCs w:val="24"/>
          <w:lang w:val="ru-RU"/>
        </w:rPr>
      </w:pPr>
    </w:p>
    <w:p w14:paraId="71FBF7CD" w14:textId="77777777" w:rsidR="00555451" w:rsidRPr="00E81A6E" w:rsidRDefault="006976D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sz w:val="24"/>
          <w:szCs w:val="24"/>
          <w:lang w:val="ru-RU"/>
        </w:rPr>
        <w:lastRenderedPageBreak/>
        <w:t>Приходи за делегирани държавни дейности</w:t>
      </w:r>
      <w:r w:rsidR="00555451" w:rsidRPr="00E81A6E">
        <w:rPr>
          <w:rFonts w:ascii="Times New Roman" w:hAnsi="Times New Roman" w:cs="Times New Roman"/>
          <w:sz w:val="24"/>
          <w:szCs w:val="24"/>
          <w:lang w:val="ru-RU"/>
        </w:rPr>
        <w:t>, които постъпват през годината и не са разчетени с първоначалния бюджет</w:t>
      </w:r>
      <w:r w:rsidR="0037364B" w:rsidRPr="00E81A6E">
        <w:rPr>
          <w:rFonts w:ascii="Times New Roman" w:hAnsi="Times New Roman" w:cs="Times New Roman"/>
          <w:sz w:val="24"/>
          <w:szCs w:val="24"/>
          <w:lang w:val="ru-RU"/>
        </w:rPr>
        <w:t xml:space="preserve"> по предварителния отчет са в размер на 2,012,208 лв.</w:t>
      </w:r>
      <w:r w:rsidRPr="00E81A6E">
        <w:rPr>
          <w:rFonts w:ascii="Times New Roman" w:hAnsi="Times New Roman" w:cs="Times New Roman"/>
          <w:sz w:val="24"/>
          <w:szCs w:val="24"/>
          <w:lang w:val="ru-RU"/>
        </w:rPr>
        <w:t xml:space="preserve">: като други неданъчни приходи през годината постъпват </w:t>
      </w:r>
      <w:r w:rsidR="00555451" w:rsidRPr="00E81A6E">
        <w:rPr>
          <w:rFonts w:ascii="Times New Roman" w:hAnsi="Times New Roman" w:cs="Times New Roman"/>
          <w:sz w:val="24"/>
          <w:szCs w:val="24"/>
          <w:lang w:val="ru-RU"/>
        </w:rPr>
        <w:t>такива</w:t>
      </w:r>
      <w:r w:rsidRPr="00E81A6E">
        <w:rPr>
          <w:rFonts w:ascii="Times New Roman" w:hAnsi="Times New Roman" w:cs="Times New Roman"/>
          <w:sz w:val="24"/>
          <w:szCs w:val="24"/>
          <w:lang w:val="ru-RU"/>
        </w:rPr>
        <w:t>, реализирани от училищата</w:t>
      </w:r>
      <w:r w:rsidR="00555451" w:rsidRPr="00E81A6E">
        <w:rPr>
          <w:rFonts w:ascii="Times New Roman" w:hAnsi="Times New Roman" w:cs="Times New Roman"/>
          <w:sz w:val="24"/>
          <w:szCs w:val="24"/>
          <w:lang w:val="ru-RU"/>
        </w:rPr>
        <w:t xml:space="preserve"> и ОКИ «Столична библиотека», които са на делегиран бюджет;</w:t>
      </w:r>
      <w:r w:rsidRPr="00E81A6E">
        <w:rPr>
          <w:rFonts w:ascii="Times New Roman" w:hAnsi="Times New Roman" w:cs="Times New Roman"/>
          <w:sz w:val="24"/>
          <w:szCs w:val="24"/>
          <w:lang w:val="ru-RU"/>
        </w:rPr>
        <w:t xml:space="preserve"> </w:t>
      </w:r>
      <w:r w:rsidR="00555451" w:rsidRPr="00E81A6E">
        <w:rPr>
          <w:rFonts w:ascii="Times New Roman" w:hAnsi="Times New Roman" w:cs="Times New Roman"/>
          <w:sz w:val="24"/>
          <w:szCs w:val="24"/>
          <w:lang w:val="ru-RU"/>
        </w:rPr>
        <w:t>отразени са и с</w:t>
      </w:r>
      <w:r w:rsidR="00555451" w:rsidRPr="00E81A6E">
        <w:rPr>
          <w:rFonts w:ascii="Times New Roman" w:hAnsi="Times New Roman" w:cs="Times New Roman"/>
          <w:sz w:val="24"/>
          <w:szCs w:val="24"/>
        </w:rPr>
        <w:t xml:space="preserve">редства по чл.13,ал.2 </w:t>
      </w:r>
      <w:r w:rsidR="00555451" w:rsidRPr="00E81A6E">
        <w:rPr>
          <w:rFonts w:ascii="Times New Roman" w:hAnsi="Times New Roman" w:cs="Times New Roman"/>
          <w:sz w:val="24"/>
          <w:szCs w:val="24"/>
          <w:lang w:val="bg-BG"/>
        </w:rPr>
        <w:t xml:space="preserve">и </w:t>
      </w:r>
      <w:r w:rsidR="00555451" w:rsidRPr="00E81A6E">
        <w:rPr>
          <w:rFonts w:ascii="Times New Roman" w:hAnsi="Times New Roman" w:cs="Times New Roman"/>
          <w:sz w:val="24"/>
          <w:szCs w:val="24"/>
        </w:rPr>
        <w:t xml:space="preserve"> по чл.13, ал.З от З</w:t>
      </w:r>
      <w:r w:rsidR="00555451" w:rsidRPr="00E81A6E">
        <w:rPr>
          <w:rFonts w:ascii="Times New Roman" w:hAnsi="Times New Roman" w:cs="Times New Roman"/>
          <w:sz w:val="24"/>
          <w:szCs w:val="24"/>
          <w:lang w:val="bg-BG"/>
        </w:rPr>
        <w:t>акона за личната помощ, т</w:t>
      </w:r>
      <w:r w:rsidR="00555451" w:rsidRPr="00E81A6E">
        <w:rPr>
          <w:rFonts w:ascii="Times New Roman" w:hAnsi="Times New Roman" w:cs="Times New Roman"/>
          <w:sz w:val="24"/>
          <w:szCs w:val="24"/>
        </w:rPr>
        <w:t>рансфер от А</w:t>
      </w:r>
      <w:r w:rsidR="00555451" w:rsidRPr="00E81A6E">
        <w:rPr>
          <w:rFonts w:ascii="Times New Roman" w:hAnsi="Times New Roman" w:cs="Times New Roman"/>
          <w:sz w:val="24"/>
          <w:szCs w:val="24"/>
          <w:lang w:val="bg-BG"/>
        </w:rPr>
        <w:t>генцията за социално подпомагане</w:t>
      </w:r>
      <w:r w:rsidR="0037364B" w:rsidRPr="00E81A6E">
        <w:rPr>
          <w:rFonts w:ascii="Times New Roman" w:hAnsi="Times New Roman" w:cs="Times New Roman"/>
          <w:sz w:val="24"/>
          <w:szCs w:val="24"/>
          <w:lang w:val="bg-BG"/>
        </w:rPr>
        <w:t xml:space="preserve"> 1,892,423 лв.</w:t>
      </w:r>
      <w:r w:rsidR="00555451" w:rsidRPr="00E81A6E">
        <w:rPr>
          <w:rFonts w:ascii="Times New Roman" w:hAnsi="Times New Roman" w:cs="Times New Roman"/>
          <w:sz w:val="24"/>
          <w:szCs w:val="24"/>
          <w:lang w:val="bg-BG"/>
        </w:rPr>
        <w:t>.</w:t>
      </w:r>
    </w:p>
    <w:p w14:paraId="6A5E648A" w14:textId="77777777" w:rsidR="00D21D6D" w:rsidRPr="00E81A6E" w:rsidRDefault="002C7148"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Като </w:t>
      </w:r>
      <w:r w:rsidR="00555451" w:rsidRPr="00E81A6E">
        <w:rPr>
          <w:rFonts w:ascii="Times New Roman" w:hAnsi="Times New Roman" w:cs="Times New Roman"/>
          <w:b/>
          <w:sz w:val="24"/>
          <w:szCs w:val="24"/>
          <w:lang w:val="ru-RU"/>
        </w:rPr>
        <w:t>местни приходи</w:t>
      </w:r>
      <w:r w:rsidR="00555451" w:rsidRPr="00E81A6E">
        <w:rPr>
          <w:rFonts w:ascii="Times New Roman" w:hAnsi="Times New Roman" w:cs="Times New Roman"/>
          <w:sz w:val="24"/>
          <w:szCs w:val="24"/>
          <w:lang w:val="ru-RU"/>
        </w:rPr>
        <w:t xml:space="preserve"> </w:t>
      </w:r>
      <w:r w:rsidR="00D21D6D"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п</w:t>
      </w:r>
      <w:r w:rsidR="00D21D6D" w:rsidRPr="00E81A6E">
        <w:rPr>
          <w:rFonts w:ascii="Times New Roman" w:hAnsi="Times New Roman" w:cs="Times New Roman"/>
          <w:sz w:val="24"/>
          <w:szCs w:val="24"/>
          <w:lang w:val="ru-RU"/>
        </w:rPr>
        <w:t xml:space="preserve">о този приходен параграф постъпват приходи от застрахователни обезщетения, </w:t>
      </w:r>
      <w:r w:rsidR="00D21D6D" w:rsidRPr="00E81A6E">
        <w:rPr>
          <w:rFonts w:ascii="Times New Roman" w:hAnsi="Times New Roman" w:cs="Times New Roman"/>
          <w:sz w:val="24"/>
          <w:szCs w:val="24"/>
          <w:lang w:val="bg-BG"/>
        </w:rPr>
        <w:t xml:space="preserve">постъпили средства от предаване на вторични суровини, режийни разноски при продажба на общински имоти, реализирани курсови разлики от валутни операции </w:t>
      </w:r>
      <w:r w:rsidR="00D21D6D" w:rsidRPr="00E81A6E">
        <w:rPr>
          <w:rFonts w:ascii="Times New Roman" w:hAnsi="Times New Roman" w:cs="Times New Roman"/>
          <w:sz w:val="24"/>
          <w:szCs w:val="24"/>
          <w:lang w:val="ru-RU"/>
        </w:rPr>
        <w:t>и др.</w:t>
      </w:r>
      <w:r w:rsidR="0037364B" w:rsidRPr="00E81A6E">
        <w:rPr>
          <w:rFonts w:ascii="Times New Roman" w:hAnsi="Times New Roman" w:cs="Times New Roman"/>
          <w:sz w:val="24"/>
          <w:szCs w:val="24"/>
          <w:lang w:val="ru-RU"/>
        </w:rPr>
        <w:t>, в предварителния отчет като обща сума 198,239 лв.</w:t>
      </w:r>
      <w:r w:rsidR="00D21D6D" w:rsidRPr="00E81A6E">
        <w:rPr>
          <w:rFonts w:ascii="Times New Roman" w:hAnsi="Times New Roman" w:cs="Times New Roman"/>
          <w:sz w:val="24"/>
          <w:szCs w:val="24"/>
          <w:lang w:val="ru-RU"/>
        </w:rPr>
        <w:t xml:space="preserve"> Част от тези приходи </w:t>
      </w:r>
      <w:r w:rsidR="00413152" w:rsidRPr="00E81A6E">
        <w:rPr>
          <w:rFonts w:ascii="Times New Roman" w:hAnsi="Times New Roman" w:cs="Times New Roman"/>
          <w:sz w:val="24"/>
          <w:szCs w:val="24"/>
          <w:lang w:val="ru-RU"/>
        </w:rPr>
        <w:t xml:space="preserve">също </w:t>
      </w:r>
      <w:r w:rsidR="00D21D6D" w:rsidRPr="00E81A6E">
        <w:rPr>
          <w:rFonts w:ascii="Times New Roman" w:hAnsi="Times New Roman" w:cs="Times New Roman"/>
          <w:sz w:val="24"/>
          <w:szCs w:val="24"/>
          <w:lang w:val="ru-RU"/>
        </w:rPr>
        <w:t>постъпват през годината и с тях се завишава бюджетът, като не се разчитат с първоначалния бюджет.</w:t>
      </w:r>
    </w:p>
    <w:p w14:paraId="4243DFB8" w14:textId="77777777" w:rsidR="00E10252" w:rsidRPr="00E81A6E" w:rsidRDefault="00E10252" w:rsidP="00F55B06">
      <w:pPr>
        <w:spacing w:after="0" w:line="240" w:lineRule="auto"/>
        <w:ind w:firstLine="720"/>
        <w:contextualSpacing/>
        <w:jc w:val="both"/>
        <w:rPr>
          <w:rFonts w:ascii="Times New Roman" w:hAnsi="Times New Roman" w:cs="Times New Roman"/>
          <w:sz w:val="24"/>
          <w:szCs w:val="24"/>
          <w:lang w:val="ru-RU"/>
        </w:rPr>
      </w:pPr>
    </w:p>
    <w:p w14:paraId="40EA6AAA" w14:textId="77777777" w:rsidR="00D21D6D" w:rsidRPr="00E81A6E" w:rsidRDefault="00D21D6D" w:rsidP="00F55B06">
      <w:pPr>
        <w:pStyle w:val="Heading6"/>
        <w:spacing w:before="0" w:line="240" w:lineRule="auto"/>
        <w:ind w:firstLine="720"/>
        <w:contextualSpacing/>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Други местни приходи:</w:t>
      </w:r>
    </w:p>
    <w:p w14:paraId="7C0AC6E8" w14:textId="77777777" w:rsidR="00E10252" w:rsidRPr="00E81A6E" w:rsidRDefault="00E10252" w:rsidP="00F55B06">
      <w:pPr>
        <w:pStyle w:val="Heading7"/>
        <w:spacing w:before="0" w:line="240" w:lineRule="auto"/>
        <w:ind w:firstLine="720"/>
        <w:contextualSpacing/>
        <w:jc w:val="both"/>
        <w:rPr>
          <w:rFonts w:ascii="Times New Roman" w:hAnsi="Times New Roman" w:cs="Times New Roman"/>
          <w:color w:val="auto"/>
          <w:sz w:val="24"/>
          <w:szCs w:val="24"/>
          <w:lang w:val="ru-RU"/>
        </w:rPr>
      </w:pPr>
    </w:p>
    <w:p w14:paraId="447DB99A"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Приходи и доходи от собственост </w:t>
      </w:r>
    </w:p>
    <w:p w14:paraId="26462496" w14:textId="77777777" w:rsidR="00612180" w:rsidRPr="00E81A6E" w:rsidRDefault="00612180" w:rsidP="00F55B06">
      <w:pPr>
        <w:spacing w:after="0" w:line="240" w:lineRule="auto"/>
        <w:ind w:firstLine="720"/>
        <w:contextualSpacing/>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Изпълнението е 26,5 млн.лв. за периода. Планираният за годината приход е изпълнен на 67,8 на сто спрямо </w:t>
      </w:r>
      <w:r w:rsidR="002C772B" w:rsidRPr="00E81A6E">
        <w:rPr>
          <w:rFonts w:ascii="Times New Roman" w:hAnsi="Times New Roman" w:cs="Times New Roman"/>
          <w:sz w:val="24"/>
          <w:szCs w:val="24"/>
          <w:lang w:val="ru-RU"/>
        </w:rPr>
        <w:t>уточнения</w:t>
      </w:r>
      <w:r w:rsidRPr="00E81A6E">
        <w:rPr>
          <w:rFonts w:ascii="Times New Roman" w:hAnsi="Times New Roman" w:cs="Times New Roman"/>
          <w:sz w:val="24"/>
          <w:szCs w:val="24"/>
          <w:lang w:val="ru-RU"/>
        </w:rPr>
        <w:t xml:space="preserve"> бюджет</w:t>
      </w:r>
      <w:r w:rsidR="002C772B" w:rsidRPr="00E81A6E">
        <w:rPr>
          <w:rFonts w:ascii="Times New Roman" w:hAnsi="Times New Roman" w:cs="Times New Roman"/>
          <w:sz w:val="24"/>
          <w:szCs w:val="24"/>
          <w:lang w:val="ru-RU"/>
        </w:rPr>
        <w:t xml:space="preserve"> за годината</w:t>
      </w:r>
      <w:r w:rsidRPr="00E81A6E">
        <w:rPr>
          <w:rFonts w:ascii="Times New Roman" w:hAnsi="Times New Roman" w:cs="Times New Roman"/>
          <w:sz w:val="24"/>
          <w:szCs w:val="24"/>
          <w:lang w:val="ru-RU"/>
        </w:rPr>
        <w:t>.</w:t>
      </w:r>
    </w:p>
    <w:p w14:paraId="6BF64796" w14:textId="77777777" w:rsidR="00612180" w:rsidRPr="00E81A6E" w:rsidRDefault="00657854"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Мерките, предприети от Столична община за облекчаване на </w:t>
      </w:r>
      <w:r w:rsidR="00612180" w:rsidRPr="00E81A6E">
        <w:rPr>
          <w:rFonts w:ascii="Times New Roman" w:hAnsi="Times New Roman" w:cs="Times New Roman"/>
          <w:sz w:val="24"/>
          <w:szCs w:val="24"/>
          <w:lang w:val="bg-BG"/>
        </w:rPr>
        <w:t>бизнеса и гражданите</w:t>
      </w:r>
      <w:r w:rsidRPr="00E81A6E">
        <w:rPr>
          <w:rFonts w:ascii="Times New Roman" w:hAnsi="Times New Roman" w:cs="Times New Roman"/>
          <w:sz w:val="24"/>
          <w:szCs w:val="24"/>
          <w:lang w:val="bg-BG"/>
        </w:rPr>
        <w:t>,</w:t>
      </w:r>
      <w:r w:rsidR="00612180" w:rsidRPr="00E81A6E">
        <w:rPr>
          <w:rFonts w:ascii="Times New Roman" w:hAnsi="Times New Roman" w:cs="Times New Roman"/>
          <w:sz w:val="24"/>
          <w:szCs w:val="24"/>
          <w:lang w:val="bg-BG"/>
        </w:rPr>
        <w:t xml:space="preserve"> з</w:t>
      </w:r>
      <w:r w:rsidRPr="00E81A6E">
        <w:rPr>
          <w:rFonts w:ascii="Times New Roman" w:hAnsi="Times New Roman" w:cs="Times New Roman"/>
          <w:sz w:val="24"/>
          <w:szCs w:val="24"/>
          <w:lang w:val="bg-BG"/>
        </w:rPr>
        <w:t>асегнати от пандемията</w:t>
      </w:r>
      <w:r w:rsidR="00612180" w:rsidRPr="00E81A6E">
        <w:rPr>
          <w:rFonts w:ascii="Times New Roman" w:hAnsi="Times New Roman" w:cs="Times New Roman"/>
          <w:sz w:val="24"/>
          <w:szCs w:val="24"/>
          <w:lang w:val="bg-BG"/>
        </w:rPr>
        <w:t>, оказват влияние и върху приходите и доходите от собственост – освобождаване от наем на ползвана общинска собственост или заплащане на наем в намален размер при определени условия</w:t>
      </w:r>
      <w:r w:rsidRPr="00E81A6E">
        <w:rPr>
          <w:rFonts w:ascii="Times New Roman" w:hAnsi="Times New Roman" w:cs="Times New Roman"/>
          <w:sz w:val="24"/>
          <w:szCs w:val="24"/>
          <w:lang w:val="bg-BG"/>
        </w:rPr>
        <w:t>.</w:t>
      </w:r>
      <w:r w:rsidR="00612180" w:rsidRPr="00E81A6E">
        <w:rPr>
          <w:rFonts w:ascii="Times New Roman" w:hAnsi="Times New Roman" w:cs="Times New Roman"/>
          <w:sz w:val="24"/>
          <w:szCs w:val="24"/>
          <w:lang w:val="bg-BG"/>
        </w:rPr>
        <w:t xml:space="preserve"> </w:t>
      </w:r>
    </w:p>
    <w:p w14:paraId="62252F10" w14:textId="77777777" w:rsidR="00657854" w:rsidRPr="00E81A6E" w:rsidRDefault="00612180"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По-ниски са и реализираните приходи от общинските предприятия.</w:t>
      </w:r>
    </w:p>
    <w:p w14:paraId="478B7678" w14:textId="77777777" w:rsidR="00E10252" w:rsidRPr="00E81A6E" w:rsidRDefault="00E10252" w:rsidP="00F55B06">
      <w:pPr>
        <w:pStyle w:val="Heading7"/>
        <w:spacing w:before="0" w:line="240" w:lineRule="auto"/>
        <w:ind w:firstLine="720"/>
        <w:contextualSpacing/>
        <w:jc w:val="both"/>
        <w:rPr>
          <w:rFonts w:ascii="Times New Roman" w:hAnsi="Times New Roman" w:cs="Times New Roman"/>
          <w:color w:val="auto"/>
          <w:sz w:val="24"/>
          <w:szCs w:val="24"/>
          <w:lang w:val="ru-RU"/>
        </w:rPr>
      </w:pPr>
    </w:p>
    <w:p w14:paraId="4C4CA486" w14:textId="77777777" w:rsidR="00D21D6D" w:rsidRPr="00E81A6E" w:rsidRDefault="00D21D6D" w:rsidP="00F55B06">
      <w:pPr>
        <w:pStyle w:val="Heading7"/>
        <w:spacing w:before="0" w:line="240" w:lineRule="auto"/>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 xml:space="preserve">Приходите от наеми на имущество </w:t>
      </w:r>
    </w:p>
    <w:p w14:paraId="335074BC"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Разчетени с уточнения бюджет в размер на 1</w:t>
      </w:r>
      <w:r w:rsidR="00E465A1"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E465A1"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млн.лв., са с изпълнение </w:t>
      </w:r>
      <w:r w:rsidR="00E465A1" w:rsidRPr="00E81A6E">
        <w:rPr>
          <w:rFonts w:ascii="Times New Roman" w:hAnsi="Times New Roman" w:cs="Times New Roman"/>
          <w:sz w:val="24"/>
          <w:szCs w:val="24"/>
          <w:lang w:val="ru-RU"/>
        </w:rPr>
        <w:t>82</w:t>
      </w:r>
      <w:r w:rsidRPr="00E81A6E">
        <w:rPr>
          <w:rFonts w:ascii="Times New Roman" w:hAnsi="Times New Roman" w:cs="Times New Roman"/>
          <w:sz w:val="24"/>
          <w:szCs w:val="24"/>
          <w:lang w:val="ru-RU"/>
        </w:rPr>
        <w:t>,</w:t>
      </w:r>
      <w:r w:rsidR="00E465A1"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на сто към 31.12.20</w:t>
      </w:r>
      <w:r w:rsidR="00E465A1"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 Реализирани са 1</w:t>
      </w:r>
      <w:r w:rsidR="00E465A1"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2C772B"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 </w:t>
      </w:r>
      <w:r w:rsidRPr="00E81A6E">
        <w:rPr>
          <w:rFonts w:ascii="Times New Roman" w:hAnsi="Times New Roman" w:cs="Times New Roman"/>
          <w:noProof/>
          <w:sz w:val="24"/>
          <w:szCs w:val="24"/>
          <w:lang w:val="ru-RU"/>
        </w:rPr>
        <w:t xml:space="preserve">От наеми </w:t>
      </w:r>
      <w:r w:rsidR="00E0710A" w:rsidRPr="00E81A6E">
        <w:rPr>
          <w:rFonts w:ascii="Times New Roman" w:hAnsi="Times New Roman" w:cs="Times New Roman"/>
          <w:noProof/>
          <w:sz w:val="24"/>
          <w:szCs w:val="24"/>
          <w:lang w:val="ru-RU"/>
        </w:rPr>
        <w:t xml:space="preserve">за реклама и разрешения </w:t>
      </w:r>
      <w:r w:rsidRPr="00E81A6E">
        <w:rPr>
          <w:rFonts w:ascii="Times New Roman" w:hAnsi="Times New Roman" w:cs="Times New Roman"/>
          <w:noProof/>
          <w:sz w:val="24"/>
          <w:szCs w:val="24"/>
          <w:lang w:val="ru-RU"/>
        </w:rPr>
        <w:t xml:space="preserve">за </w:t>
      </w:r>
      <w:r w:rsidR="00E0710A" w:rsidRPr="00E81A6E">
        <w:rPr>
          <w:rFonts w:ascii="Times New Roman" w:hAnsi="Times New Roman" w:cs="Times New Roman"/>
          <w:noProof/>
          <w:sz w:val="24"/>
          <w:szCs w:val="24"/>
          <w:lang w:val="ru-RU"/>
        </w:rPr>
        <w:t xml:space="preserve">поставяне на </w:t>
      </w:r>
      <w:r w:rsidRPr="00E81A6E">
        <w:rPr>
          <w:rFonts w:ascii="Times New Roman" w:hAnsi="Times New Roman" w:cs="Times New Roman"/>
          <w:noProof/>
          <w:sz w:val="24"/>
          <w:szCs w:val="24"/>
          <w:lang w:val="ru-RU"/>
        </w:rPr>
        <w:t>реклам</w:t>
      </w:r>
      <w:r w:rsidR="00E0710A" w:rsidRPr="00E81A6E">
        <w:rPr>
          <w:rFonts w:ascii="Times New Roman" w:hAnsi="Times New Roman" w:cs="Times New Roman"/>
          <w:noProof/>
          <w:sz w:val="24"/>
          <w:szCs w:val="24"/>
          <w:lang w:val="ru-RU"/>
        </w:rPr>
        <w:t>ни елементи</w:t>
      </w:r>
      <w:r w:rsidRPr="00E81A6E">
        <w:rPr>
          <w:rFonts w:ascii="Times New Roman" w:hAnsi="Times New Roman" w:cs="Times New Roman"/>
          <w:noProof/>
          <w:sz w:val="24"/>
          <w:szCs w:val="24"/>
          <w:lang w:val="ru-RU"/>
        </w:rPr>
        <w:t xml:space="preserve">, включени в този параграф, за отчетния период са събрани </w:t>
      </w:r>
      <w:r w:rsidR="002C772B" w:rsidRPr="00E81A6E">
        <w:rPr>
          <w:rFonts w:ascii="Times New Roman" w:hAnsi="Times New Roman" w:cs="Times New Roman"/>
          <w:noProof/>
          <w:sz w:val="24"/>
          <w:szCs w:val="24"/>
          <w:lang w:val="ru-RU"/>
        </w:rPr>
        <w:t>3</w:t>
      </w:r>
      <w:r w:rsidRPr="00E81A6E">
        <w:rPr>
          <w:rFonts w:ascii="Times New Roman" w:hAnsi="Times New Roman" w:cs="Times New Roman"/>
          <w:noProof/>
          <w:sz w:val="24"/>
          <w:szCs w:val="24"/>
          <w:lang w:val="ru-RU"/>
        </w:rPr>
        <w:t>,</w:t>
      </w:r>
      <w:r w:rsidR="002C772B" w:rsidRPr="00E81A6E">
        <w:rPr>
          <w:rFonts w:ascii="Times New Roman" w:hAnsi="Times New Roman" w:cs="Times New Roman"/>
          <w:noProof/>
          <w:sz w:val="24"/>
          <w:szCs w:val="24"/>
          <w:lang w:val="ru-RU"/>
        </w:rPr>
        <w:t>0</w:t>
      </w:r>
      <w:r w:rsidRPr="00E81A6E">
        <w:rPr>
          <w:rFonts w:ascii="Times New Roman" w:hAnsi="Times New Roman" w:cs="Times New Roman"/>
          <w:noProof/>
          <w:sz w:val="24"/>
          <w:szCs w:val="24"/>
          <w:lang w:val="ru-RU"/>
        </w:rPr>
        <w:t xml:space="preserve"> млн.лв.</w:t>
      </w:r>
    </w:p>
    <w:p w14:paraId="309B11C9"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Наеми на земя.</w:t>
      </w:r>
      <w:r w:rsidRPr="00E81A6E">
        <w:rPr>
          <w:rFonts w:ascii="Times New Roman" w:hAnsi="Times New Roman" w:cs="Times New Roman"/>
          <w:sz w:val="24"/>
          <w:szCs w:val="24"/>
          <w:lang w:val="ru-RU"/>
        </w:rPr>
        <w:t xml:space="preserve"> При разчет 5,</w:t>
      </w:r>
      <w:r w:rsidR="00AA633A"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млн.лв.</w:t>
      </w:r>
      <w:r w:rsidR="00657854"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изпълнението е </w:t>
      </w:r>
      <w:r w:rsidR="00AA633A"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w:t>
      </w:r>
      <w:r w:rsidR="00AA633A"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млн.лв. или 9</w:t>
      </w:r>
      <w:r w:rsidR="00AA633A"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w:t>
      </w:r>
      <w:r w:rsidR="00AA633A"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 xml:space="preserve"> на сто.</w:t>
      </w:r>
    </w:p>
    <w:p w14:paraId="48061C6B"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 този параграф се включват приходи от отдаване на терени под наем от районите и отдаване на площи в паркове и градини от Столична община.</w:t>
      </w:r>
    </w:p>
    <w:p w14:paraId="2D7D0AE4"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Нетни приходи от продажба на продукция, стоки и услуги (по §2404).</w:t>
      </w:r>
      <w:r w:rsidRPr="00E81A6E">
        <w:rPr>
          <w:rFonts w:ascii="Times New Roman" w:hAnsi="Times New Roman" w:cs="Times New Roman"/>
          <w:sz w:val="24"/>
          <w:szCs w:val="24"/>
          <w:lang w:val="ru-RU"/>
        </w:rPr>
        <w:t xml:space="preserve"> Постъпили са </w:t>
      </w:r>
      <w:r w:rsidR="00182907"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w:t>
      </w:r>
      <w:r w:rsidR="00182907"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млн.лв., с </w:t>
      </w:r>
      <w:r w:rsidR="00182907"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w:t>
      </w:r>
      <w:r w:rsidR="00182907"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 xml:space="preserve"> млн.лв. по</w:t>
      </w:r>
      <w:r w:rsidR="00182907" w:rsidRPr="00E81A6E">
        <w:rPr>
          <w:rFonts w:ascii="Times New Roman" w:hAnsi="Times New Roman" w:cs="Times New Roman"/>
          <w:sz w:val="24"/>
          <w:szCs w:val="24"/>
          <w:lang w:val="ru-RU"/>
        </w:rPr>
        <w:t>-малко</w:t>
      </w:r>
      <w:r w:rsidRPr="00E81A6E">
        <w:rPr>
          <w:rFonts w:ascii="Times New Roman" w:hAnsi="Times New Roman" w:cs="Times New Roman"/>
          <w:sz w:val="24"/>
          <w:szCs w:val="24"/>
          <w:lang w:val="ru-RU"/>
        </w:rPr>
        <w:t xml:space="preserve"> от 201</w:t>
      </w:r>
      <w:r w:rsidR="00182907"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 xml:space="preserve">г. Тук са включени приходи от: продажба на тръжни книжа, приходи от услуги на общинските предприятия за обредни услуги, билети на Зоопарка, педагогически услуги, приходи на Столичните театри и др. </w:t>
      </w:r>
    </w:p>
    <w:p w14:paraId="31179463" w14:textId="3E1E9952" w:rsidR="00D21D6D" w:rsidRPr="00E81A6E" w:rsidRDefault="00D21D6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ru-RU"/>
        </w:rPr>
        <w:t xml:space="preserve">Приходите от дивиденти (§ 2407). </w:t>
      </w:r>
      <w:r w:rsidRPr="00E81A6E">
        <w:rPr>
          <w:rFonts w:ascii="Times New Roman" w:hAnsi="Times New Roman" w:cs="Times New Roman"/>
          <w:sz w:val="24"/>
          <w:szCs w:val="24"/>
          <w:lang w:val="ru-RU"/>
        </w:rPr>
        <w:t xml:space="preserve">Изпълнението е </w:t>
      </w:r>
      <w:r w:rsidR="00182907" w:rsidRPr="00E81A6E">
        <w:rPr>
          <w:rFonts w:ascii="Times New Roman" w:hAnsi="Times New Roman" w:cs="Times New Roman"/>
          <w:sz w:val="24"/>
          <w:szCs w:val="24"/>
          <w:lang w:val="ru-RU"/>
        </w:rPr>
        <w:t>184</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хил. лв. към 31.12.20</w:t>
      </w:r>
      <w:r w:rsidR="00182907"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w:t>
      </w:r>
      <w:r w:rsidR="00657854" w:rsidRPr="00E81A6E">
        <w:rPr>
          <w:rFonts w:ascii="Times New Roman" w:hAnsi="Times New Roman" w:cs="Times New Roman"/>
          <w:sz w:val="24"/>
          <w:szCs w:val="24"/>
          <w:lang w:val="ru-RU"/>
        </w:rPr>
        <w:t xml:space="preserve"> </w:t>
      </w:r>
      <w:r w:rsidR="00657854" w:rsidRPr="00E81A6E">
        <w:rPr>
          <w:rFonts w:ascii="Times New Roman" w:hAnsi="Times New Roman" w:cs="Times New Roman"/>
          <w:sz w:val="24"/>
          <w:szCs w:val="24"/>
          <w:lang w:val="bg-BG"/>
        </w:rPr>
        <w:t xml:space="preserve">Изпълнението на приходите от дивиденти не може да бъде прогнозирано точно, тъй като зависи от решения на общинския съвет за освобождаване на общински търговски дружества от дивиденти, в случая Решение № 346 на СОС от 23.07.2020г., точка </w:t>
      </w:r>
      <w:r w:rsidR="00657854" w:rsidRPr="00E81A6E">
        <w:rPr>
          <w:rFonts w:ascii="Times New Roman" w:hAnsi="Times New Roman" w:cs="Times New Roman"/>
          <w:sz w:val="24"/>
          <w:szCs w:val="24"/>
        </w:rPr>
        <w:t>VIII</w:t>
      </w:r>
      <w:r w:rsidR="00657854" w:rsidRPr="00E81A6E">
        <w:rPr>
          <w:rFonts w:ascii="Times New Roman" w:hAnsi="Times New Roman" w:cs="Times New Roman"/>
          <w:sz w:val="24"/>
          <w:szCs w:val="24"/>
          <w:lang w:val="bg-BG"/>
        </w:rPr>
        <w:t>. Постъпващите приходи по този параграф през 2020 година са от невнесени суми за минали години.</w:t>
      </w:r>
    </w:p>
    <w:p w14:paraId="70A45F59" w14:textId="77777777" w:rsidR="00D21D6D" w:rsidRPr="00E81A6E"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Продажба на нефинансови активи</w:t>
      </w:r>
      <w:r w:rsidRPr="00E81A6E">
        <w:rPr>
          <w:rFonts w:ascii="Times New Roman" w:hAnsi="Times New Roman" w:cs="Times New Roman"/>
          <w:sz w:val="24"/>
          <w:szCs w:val="24"/>
          <w:lang w:val="ru-RU"/>
        </w:rPr>
        <w:t xml:space="preserve">. Изпълнението е </w:t>
      </w:r>
      <w:r w:rsidR="0090130F"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w:t>
      </w:r>
      <w:r w:rsidR="0090130F"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 xml:space="preserve"> млн.лв. за периода. Планираният за годината доход е изпълнен на 2</w:t>
      </w:r>
      <w:r w:rsidR="0090130F"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w:t>
      </w:r>
      <w:r w:rsidR="0090130F" w:rsidRPr="00E81A6E">
        <w:rPr>
          <w:rFonts w:ascii="Times New Roman" w:hAnsi="Times New Roman" w:cs="Times New Roman"/>
          <w:sz w:val="24"/>
          <w:szCs w:val="24"/>
          <w:lang w:val="ru-RU"/>
        </w:rPr>
        <w:t>9</w:t>
      </w:r>
      <w:r w:rsidRPr="00E81A6E">
        <w:rPr>
          <w:rFonts w:ascii="Times New Roman" w:hAnsi="Times New Roman" w:cs="Times New Roman"/>
          <w:sz w:val="24"/>
          <w:szCs w:val="24"/>
          <w:lang w:val="ru-RU"/>
        </w:rPr>
        <w:t xml:space="preserve"> на сто.</w:t>
      </w:r>
    </w:p>
    <w:p w14:paraId="6CEABAD0" w14:textId="77777777" w:rsidR="00417AC7" w:rsidRPr="00E81A6E" w:rsidRDefault="00417AC7"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 xml:space="preserve">В продажбите на нефинансови активи се отчита сериозен спад. Тези продажби  в голяма </w:t>
      </w:r>
      <w:r w:rsidR="00E0710A" w:rsidRPr="00E81A6E">
        <w:rPr>
          <w:rFonts w:ascii="Times New Roman" w:hAnsi="Times New Roman" w:cs="Times New Roman"/>
          <w:sz w:val="24"/>
          <w:szCs w:val="24"/>
          <w:lang w:val="bg-BG"/>
        </w:rPr>
        <w:t>степен зависят от решенията на О</w:t>
      </w:r>
      <w:r w:rsidRPr="00E81A6E">
        <w:rPr>
          <w:rFonts w:ascii="Times New Roman" w:hAnsi="Times New Roman" w:cs="Times New Roman"/>
          <w:sz w:val="24"/>
          <w:szCs w:val="24"/>
          <w:lang w:val="bg-BG"/>
        </w:rPr>
        <w:t>бщинския съвет.</w:t>
      </w:r>
    </w:p>
    <w:p w14:paraId="040DA38B" w14:textId="77777777" w:rsidR="00D21D6D" w:rsidRPr="00E81A6E" w:rsidRDefault="00D21D6D" w:rsidP="00F55B06">
      <w:pPr>
        <w:spacing w:after="0" w:line="240" w:lineRule="auto"/>
        <w:ind w:firstLine="720"/>
        <w:contextualSpacing/>
        <w:jc w:val="both"/>
        <w:rPr>
          <w:rFonts w:ascii="Times New Roman" w:hAnsi="Times New Roman" w:cs="Times New Roman"/>
          <w:i/>
          <w:iCs/>
          <w:sz w:val="24"/>
          <w:szCs w:val="24"/>
          <w:lang w:val="ru-RU"/>
        </w:rPr>
      </w:pPr>
      <w:r w:rsidRPr="00E81A6E">
        <w:rPr>
          <w:rFonts w:ascii="Times New Roman" w:hAnsi="Times New Roman" w:cs="Times New Roman"/>
          <w:sz w:val="24"/>
          <w:szCs w:val="24"/>
          <w:lang w:val="ru-RU"/>
        </w:rPr>
        <w:t>Съгласно указания на Министерство на финансите, дадени с Писмо № ДДС № 5/2015г., в този приходен параграф се разчитат с бюджета и отчитат и приходите от приватизация.</w:t>
      </w:r>
      <w:r w:rsidRPr="00E81A6E">
        <w:rPr>
          <w:rFonts w:ascii="Times New Roman" w:hAnsi="Times New Roman" w:cs="Times New Roman"/>
          <w:i/>
          <w:iCs/>
          <w:sz w:val="24"/>
          <w:szCs w:val="24"/>
          <w:lang w:val="bg-BG"/>
        </w:rPr>
        <w:t xml:space="preserve"> </w:t>
      </w:r>
    </w:p>
    <w:p w14:paraId="1A47C737" w14:textId="77777777" w:rsidR="00D21D6D" w:rsidRDefault="00D21D6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lastRenderedPageBreak/>
        <w:t>Приходи от концесии</w:t>
      </w:r>
      <w:r w:rsidRPr="00E81A6E">
        <w:rPr>
          <w:rFonts w:ascii="Times New Roman" w:hAnsi="Times New Roman" w:cs="Times New Roman"/>
          <w:sz w:val="24"/>
          <w:szCs w:val="24"/>
          <w:lang w:val="ru-RU"/>
        </w:rPr>
        <w:t>. Изпълнението към 31.12.20</w:t>
      </w:r>
      <w:r w:rsidR="000C005D"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е </w:t>
      </w:r>
      <w:r w:rsidR="000C005D" w:rsidRPr="00E81A6E">
        <w:rPr>
          <w:rFonts w:ascii="Times New Roman" w:hAnsi="Times New Roman" w:cs="Times New Roman"/>
          <w:sz w:val="24"/>
          <w:szCs w:val="24"/>
          <w:lang w:val="ru-RU"/>
        </w:rPr>
        <w:t>108</w:t>
      </w:r>
      <w:r w:rsidRPr="00E81A6E">
        <w:rPr>
          <w:rFonts w:ascii="Times New Roman" w:hAnsi="Times New Roman" w:cs="Times New Roman"/>
          <w:sz w:val="24"/>
          <w:szCs w:val="24"/>
          <w:lang w:val="ru-RU"/>
        </w:rPr>
        <w:t>,</w:t>
      </w:r>
      <w:r w:rsidR="000C005D" w:rsidRPr="00E81A6E">
        <w:rPr>
          <w:rFonts w:ascii="Times New Roman" w:hAnsi="Times New Roman" w:cs="Times New Roman"/>
          <w:sz w:val="24"/>
          <w:szCs w:val="24"/>
          <w:lang w:val="ru-RU"/>
        </w:rPr>
        <w:t>8</w:t>
      </w:r>
      <w:r w:rsidRPr="00E81A6E">
        <w:rPr>
          <w:rFonts w:ascii="Times New Roman" w:hAnsi="Times New Roman" w:cs="Times New Roman"/>
          <w:sz w:val="24"/>
          <w:szCs w:val="24"/>
          <w:lang w:val="ru-RU"/>
        </w:rPr>
        <w:t xml:space="preserve"> на сто, при бюджет за годината 1,5 млн.лв.</w:t>
      </w:r>
      <w:r w:rsidR="004B3F0C"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са постъпили 1,</w:t>
      </w:r>
      <w:r w:rsidR="000C005D" w:rsidRPr="00E81A6E">
        <w:rPr>
          <w:rFonts w:ascii="Times New Roman" w:hAnsi="Times New Roman" w:cs="Times New Roman"/>
          <w:sz w:val="24"/>
          <w:szCs w:val="24"/>
          <w:lang w:val="ru-RU"/>
        </w:rPr>
        <w:t>631</w:t>
      </w:r>
      <w:r w:rsidR="00417AC7" w:rsidRPr="00E81A6E">
        <w:rPr>
          <w:rFonts w:ascii="Times New Roman" w:hAnsi="Times New Roman" w:cs="Times New Roman"/>
          <w:sz w:val="24"/>
          <w:szCs w:val="24"/>
          <w:lang w:val="ru-RU"/>
        </w:rPr>
        <w:t xml:space="preserve"> млн.лв.</w:t>
      </w:r>
    </w:p>
    <w:p w14:paraId="4EB259E7" w14:textId="77777777" w:rsidR="00BA60D7" w:rsidRPr="00E81A6E" w:rsidRDefault="00BA60D7" w:rsidP="00F55B06">
      <w:pPr>
        <w:spacing w:after="0" w:line="240" w:lineRule="auto"/>
        <w:ind w:firstLine="720"/>
        <w:contextualSpacing/>
        <w:jc w:val="both"/>
        <w:rPr>
          <w:rFonts w:ascii="Times New Roman" w:hAnsi="Times New Roman" w:cs="Times New Roman"/>
          <w:sz w:val="24"/>
          <w:szCs w:val="24"/>
          <w:lang w:val="ru-RU"/>
        </w:rPr>
      </w:pPr>
    </w:p>
    <w:p w14:paraId="2B2FD35A" w14:textId="77777777" w:rsidR="000D65A2" w:rsidRPr="00E81A6E" w:rsidRDefault="000D65A2" w:rsidP="00F55B06">
      <w:pPr>
        <w:pStyle w:val="Heading3"/>
        <w:spacing w:before="0"/>
        <w:ind w:firstLine="720"/>
        <w:contextualSpacing/>
        <w:rPr>
          <w:rFonts w:ascii="Times New Roman" w:hAnsi="Times New Roman" w:cs="Times New Roman"/>
          <w:color w:val="auto"/>
          <w:sz w:val="24"/>
          <w:szCs w:val="24"/>
        </w:rPr>
      </w:pPr>
      <w:bookmarkStart w:id="24" w:name="_Toc61971766"/>
      <w:r w:rsidRPr="00E81A6E">
        <w:rPr>
          <w:rFonts w:ascii="Times New Roman" w:hAnsi="Times New Roman" w:cs="Times New Roman"/>
          <w:color w:val="auto"/>
          <w:sz w:val="24"/>
          <w:szCs w:val="24"/>
          <w:lang w:val="ru-RU"/>
        </w:rPr>
        <w:t>Бюджет 2020 - Изпълнение на разходите</w:t>
      </w:r>
      <w:bookmarkEnd w:id="24"/>
    </w:p>
    <w:p w14:paraId="64CBF4C4" w14:textId="77777777" w:rsidR="00E10252" w:rsidRPr="00E81A6E" w:rsidRDefault="00E10252" w:rsidP="00F55B06">
      <w:pPr>
        <w:spacing w:after="0" w:line="240" w:lineRule="auto"/>
        <w:ind w:firstLine="720"/>
        <w:contextualSpacing/>
        <w:jc w:val="both"/>
        <w:rPr>
          <w:rFonts w:ascii="Times New Roman" w:hAnsi="Times New Roman" w:cs="Times New Roman"/>
          <w:sz w:val="24"/>
          <w:szCs w:val="24"/>
          <w:lang w:val="ru-RU"/>
        </w:rPr>
      </w:pPr>
    </w:p>
    <w:p w14:paraId="7F79F192"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Общо разходите по уточнения към 31.12.2020г. бюджет на СО /без тези по оперативни програми/ са 1,</w:t>
      </w:r>
      <w:r w:rsidR="00AC2CCC" w:rsidRPr="00E81A6E">
        <w:rPr>
          <w:rFonts w:ascii="Times New Roman" w:hAnsi="Times New Roman" w:cs="Times New Roman"/>
          <w:sz w:val="24"/>
          <w:szCs w:val="24"/>
          <w:lang w:val="ru-RU"/>
        </w:rPr>
        <w:t>614</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70</w:t>
      </w:r>
      <w:r w:rsidRPr="00E81A6E">
        <w:rPr>
          <w:rFonts w:ascii="Times New Roman" w:hAnsi="Times New Roman" w:cs="Times New Roman"/>
          <w:sz w:val="24"/>
          <w:szCs w:val="24"/>
          <w:lang w:val="ru-RU"/>
        </w:rPr>
        <w:t>7,</w:t>
      </w:r>
      <w:r w:rsidR="00AC2CCC" w:rsidRPr="00E81A6E">
        <w:rPr>
          <w:rFonts w:ascii="Times New Roman" w:hAnsi="Times New Roman" w:cs="Times New Roman"/>
          <w:sz w:val="24"/>
          <w:szCs w:val="24"/>
          <w:lang w:val="ru-RU"/>
        </w:rPr>
        <w:t>947</w:t>
      </w:r>
      <w:r w:rsidRPr="00E81A6E">
        <w:rPr>
          <w:rFonts w:ascii="Times New Roman" w:hAnsi="Times New Roman" w:cs="Times New Roman"/>
          <w:sz w:val="24"/>
          <w:szCs w:val="24"/>
          <w:lang w:val="ru-RU"/>
        </w:rPr>
        <w:t xml:space="preserve"> лв., изпълнението по предварителни данни е 1,382,634,325 лв., или 85,6 на сто.</w:t>
      </w:r>
    </w:p>
    <w:p w14:paraId="04355D3D"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rPr>
        <w:t>В това число:</w:t>
      </w:r>
    </w:p>
    <w:p w14:paraId="0E468F8E" w14:textId="77777777" w:rsidR="000D65A2" w:rsidRPr="00E81A6E" w:rsidRDefault="000D65A2" w:rsidP="00350B12">
      <w:pPr>
        <w:numPr>
          <w:ilvl w:val="0"/>
          <w:numId w:val="3"/>
        </w:numPr>
        <w:spacing w:after="0" w:line="240" w:lineRule="auto"/>
        <w:ind w:left="0" w:firstLine="720"/>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за държавни дейности изпълнението е 62</w:t>
      </w:r>
      <w:r w:rsidRPr="00E81A6E">
        <w:rPr>
          <w:rFonts w:ascii="Times New Roman" w:hAnsi="Times New Roman" w:cs="Times New Roman"/>
          <w:i/>
          <w:iCs/>
          <w:sz w:val="24"/>
          <w:szCs w:val="24"/>
        </w:rPr>
        <w:t>4,8</w:t>
      </w:r>
      <w:r w:rsidRPr="00E81A6E">
        <w:rPr>
          <w:rFonts w:ascii="Times New Roman" w:hAnsi="Times New Roman" w:cs="Times New Roman"/>
          <w:i/>
          <w:iCs/>
          <w:sz w:val="24"/>
          <w:szCs w:val="24"/>
          <w:lang w:val="ru-RU"/>
        </w:rPr>
        <w:t xml:space="preserve"> млн.лв. или 93,9 на сто, в това число за текущи разходи 94,2 на сто.</w:t>
      </w:r>
    </w:p>
    <w:p w14:paraId="43FDFC60" w14:textId="77777777" w:rsidR="000D65A2" w:rsidRPr="00E81A6E" w:rsidRDefault="000D65A2" w:rsidP="00350B12">
      <w:pPr>
        <w:numPr>
          <w:ilvl w:val="0"/>
          <w:numId w:val="3"/>
        </w:numPr>
        <w:spacing w:after="0" w:line="240" w:lineRule="auto"/>
        <w:ind w:left="0" w:firstLine="720"/>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местни дейности - 825 млн.лв. </w:t>
      </w:r>
      <w:r w:rsidR="004B3F0C" w:rsidRPr="00E81A6E">
        <w:rPr>
          <w:rFonts w:ascii="Times New Roman" w:hAnsi="Times New Roman" w:cs="Times New Roman"/>
          <w:i/>
          <w:iCs/>
          <w:sz w:val="24"/>
          <w:szCs w:val="24"/>
          <w:lang w:val="ru-RU"/>
        </w:rPr>
        <w:t>и</w:t>
      </w:r>
      <w:r w:rsidRPr="00E81A6E">
        <w:rPr>
          <w:rFonts w:ascii="Times New Roman" w:hAnsi="Times New Roman" w:cs="Times New Roman"/>
          <w:i/>
          <w:iCs/>
          <w:sz w:val="24"/>
          <w:szCs w:val="24"/>
          <w:lang w:val="bg-BG"/>
        </w:rPr>
        <w:t>зпълнение</w:t>
      </w:r>
      <w:r w:rsidR="004B3F0C" w:rsidRPr="00E81A6E">
        <w:rPr>
          <w:rFonts w:ascii="Times New Roman" w:hAnsi="Times New Roman" w:cs="Times New Roman"/>
          <w:i/>
          <w:iCs/>
          <w:sz w:val="24"/>
          <w:szCs w:val="24"/>
          <w:lang w:val="bg-BG"/>
        </w:rPr>
        <w:t>,</w:t>
      </w:r>
      <w:r w:rsidRPr="00E81A6E">
        <w:rPr>
          <w:rFonts w:ascii="Times New Roman" w:hAnsi="Times New Roman" w:cs="Times New Roman"/>
          <w:i/>
          <w:iCs/>
          <w:sz w:val="24"/>
          <w:szCs w:val="24"/>
          <w:lang w:val="bg-BG"/>
        </w:rPr>
        <w:t xml:space="preserve"> 72,2 на сто</w:t>
      </w:r>
      <w:r w:rsidRPr="00E81A6E">
        <w:rPr>
          <w:rFonts w:ascii="Times New Roman" w:hAnsi="Times New Roman" w:cs="Times New Roman"/>
          <w:i/>
          <w:iCs/>
          <w:sz w:val="24"/>
          <w:szCs w:val="24"/>
          <w:lang w:val="ru-RU"/>
        </w:rPr>
        <w:t xml:space="preserve">, в това число за текущи разходи 560 млн.лв. или 91,7 на сто. </w:t>
      </w:r>
    </w:p>
    <w:p w14:paraId="01C7B4CA" w14:textId="77777777" w:rsidR="000D65A2" w:rsidRPr="00E81A6E" w:rsidRDefault="000D65A2" w:rsidP="00350B12">
      <w:pPr>
        <w:widowControl w:val="0"/>
        <w:numPr>
          <w:ilvl w:val="0"/>
          <w:numId w:val="3"/>
        </w:numPr>
        <w:overflowPunct w:val="0"/>
        <w:autoSpaceDE w:val="0"/>
        <w:autoSpaceDN w:val="0"/>
        <w:adjustRightInd w:val="0"/>
        <w:spacing w:after="0" w:line="240" w:lineRule="auto"/>
        <w:ind w:left="0" w:firstLine="720"/>
        <w:contextualSpacing/>
        <w:jc w:val="both"/>
        <w:rPr>
          <w:rFonts w:ascii="Times New Roman" w:eastAsia="MS Mincho" w:hAnsi="Times New Roman" w:cs="Times New Roman"/>
          <w:i/>
          <w:iCs/>
          <w:sz w:val="24"/>
          <w:szCs w:val="24"/>
          <w:lang w:val="bg-BG" w:eastAsia="en-US"/>
        </w:rPr>
      </w:pPr>
      <w:r w:rsidRPr="00E81A6E">
        <w:rPr>
          <w:rFonts w:ascii="Times New Roman" w:eastAsia="MS Mincho" w:hAnsi="Times New Roman" w:cs="Times New Roman"/>
          <w:i/>
          <w:iCs/>
          <w:sz w:val="24"/>
          <w:szCs w:val="24"/>
          <w:lang w:val="bg-BG" w:eastAsia="en-US"/>
        </w:rPr>
        <w:t>д</w:t>
      </w:r>
      <w:r w:rsidRPr="00E81A6E">
        <w:rPr>
          <w:rFonts w:ascii="Times New Roman" w:eastAsia="MS Mincho" w:hAnsi="Times New Roman" w:cs="Times New Roman"/>
          <w:i/>
          <w:iCs/>
          <w:sz w:val="24"/>
          <w:szCs w:val="24"/>
          <w:lang w:val="ru-RU" w:eastAsia="en-US"/>
        </w:rPr>
        <w:t>офинансирането на държавната дейност с общински средства е в размер на 51 млн.лв. по отчет, изпълнение 75,4</w:t>
      </w:r>
      <w:r w:rsidRPr="00E81A6E">
        <w:rPr>
          <w:rFonts w:ascii="Times New Roman" w:eastAsia="MS Mincho" w:hAnsi="Times New Roman" w:cs="Times New Roman"/>
          <w:i/>
          <w:iCs/>
          <w:sz w:val="24"/>
          <w:szCs w:val="24"/>
          <w:lang w:val="bg-BG" w:eastAsia="en-US"/>
        </w:rPr>
        <w:t xml:space="preserve"> на сто, от които за текущи разходи 46 млн.лв.</w:t>
      </w:r>
      <w:r w:rsidR="001B6EB8" w:rsidRPr="00E81A6E">
        <w:rPr>
          <w:rFonts w:ascii="Times New Roman" w:eastAsia="MS Mincho" w:hAnsi="Times New Roman" w:cs="Times New Roman"/>
          <w:i/>
          <w:iCs/>
          <w:sz w:val="24"/>
          <w:szCs w:val="24"/>
          <w:lang w:val="bg-BG" w:eastAsia="en-US"/>
        </w:rPr>
        <w:t>или</w:t>
      </w:r>
      <w:r w:rsidRPr="00E81A6E">
        <w:rPr>
          <w:rFonts w:ascii="Times New Roman" w:eastAsia="MS Mincho" w:hAnsi="Times New Roman" w:cs="Times New Roman"/>
          <w:i/>
          <w:iCs/>
          <w:sz w:val="24"/>
          <w:szCs w:val="24"/>
          <w:lang w:val="bg-BG" w:eastAsia="en-US"/>
        </w:rPr>
        <w:t xml:space="preserve"> 77 на сто.</w:t>
      </w:r>
    </w:p>
    <w:p w14:paraId="656F488D"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по функции е, както следва:</w:t>
      </w:r>
    </w:p>
    <w:p w14:paraId="793F38A4" w14:textId="77777777" w:rsidR="00E10252" w:rsidRPr="00E81A6E" w:rsidRDefault="00E10252" w:rsidP="00F55B06">
      <w:pPr>
        <w:spacing w:after="0" w:line="240" w:lineRule="auto"/>
        <w:ind w:firstLine="720"/>
        <w:contextualSpacing/>
        <w:jc w:val="both"/>
        <w:rPr>
          <w:rFonts w:ascii="Times New Roman" w:hAnsi="Times New Roman" w:cs="Times New Roman"/>
          <w:sz w:val="24"/>
          <w:szCs w:val="24"/>
          <w:lang w:val="ru-RU"/>
        </w:rPr>
      </w:pPr>
    </w:p>
    <w:p w14:paraId="096CE03F"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bg-BG"/>
        </w:rPr>
      </w:pPr>
      <w:r w:rsidRPr="00E81A6E">
        <w:rPr>
          <w:rFonts w:ascii="Times New Roman" w:hAnsi="Times New Roman" w:cs="Times New Roman"/>
          <w:sz w:val="24"/>
          <w:szCs w:val="24"/>
          <w:lang w:val="ru-RU"/>
        </w:rPr>
        <w:t>Функция “Образование”</w:t>
      </w:r>
    </w:p>
    <w:p w14:paraId="30E37D52"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годишен разчет 588,</w:t>
      </w:r>
      <w:r w:rsidR="00AC2CCC"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млн.лв., изпълнението е 519</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или 88,2 на сто. Характерното за тази функция е, че столичните училища са определени като делегирани от държавата дейности и се издържат със средствата от общ</w:t>
      </w:r>
      <w:r w:rsidR="004B3F0C" w:rsidRPr="00E81A6E">
        <w:rPr>
          <w:rFonts w:ascii="Times New Roman" w:hAnsi="Times New Roman" w:cs="Times New Roman"/>
          <w:sz w:val="24"/>
          <w:szCs w:val="24"/>
          <w:lang w:val="ru-RU"/>
        </w:rPr>
        <w:t>а субсидия</w:t>
      </w:r>
      <w:r w:rsidRPr="00E81A6E">
        <w:rPr>
          <w:rFonts w:ascii="Times New Roman" w:hAnsi="Times New Roman" w:cs="Times New Roman"/>
          <w:sz w:val="24"/>
          <w:szCs w:val="24"/>
          <w:lang w:val="ru-RU"/>
        </w:rPr>
        <w:t xml:space="preserve"> от централния бюджет. Делегирана държавна отговорност са също заплатите и осигурителните вноски на детските заведения. </w:t>
      </w:r>
    </w:p>
    <w:p w14:paraId="224B819E"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Изпълнението във функция “Образование” на държавни дейности е 462,4 млн.лв. или 94,7 на сто. Изпълнението на местните дейности е 51</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от които 22,1 млн.лв. </w:t>
      </w:r>
      <w:r w:rsidRPr="00E81A6E">
        <w:rPr>
          <w:rFonts w:ascii="Times New Roman" w:hAnsi="Times New Roman" w:cs="Times New Roman"/>
          <w:sz w:val="24"/>
          <w:szCs w:val="24"/>
          <w:lang w:val="bg-BG"/>
        </w:rPr>
        <w:t>с</w:t>
      </w:r>
      <w:r w:rsidRPr="00E81A6E">
        <w:rPr>
          <w:rFonts w:ascii="Times New Roman" w:hAnsi="Times New Roman" w:cs="Times New Roman"/>
          <w:sz w:val="24"/>
          <w:szCs w:val="24"/>
          <w:lang w:val="ru-RU"/>
        </w:rPr>
        <w:t xml:space="preserve">а капиталови разходи. </w:t>
      </w:r>
      <w:r w:rsidRPr="00E81A6E">
        <w:rPr>
          <w:rFonts w:ascii="Times New Roman" w:hAnsi="Times New Roman" w:cs="Times New Roman"/>
          <w:sz w:val="24"/>
          <w:szCs w:val="24"/>
          <w:lang w:val="bg-BG"/>
        </w:rPr>
        <w:t>Изпълнението в д</w:t>
      </w:r>
      <w:r w:rsidRPr="00E81A6E">
        <w:rPr>
          <w:rFonts w:ascii="Times New Roman" w:hAnsi="Times New Roman" w:cs="Times New Roman"/>
          <w:sz w:val="24"/>
          <w:szCs w:val="24"/>
          <w:lang w:val="ru-RU"/>
        </w:rPr>
        <w:t>офинансирането е 5,</w:t>
      </w:r>
      <w:r w:rsidR="00AC2CCC"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млн.лв., от които 4</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за капиталови разходи.</w:t>
      </w:r>
    </w:p>
    <w:p w14:paraId="45B8412C" w14:textId="77777777" w:rsidR="00E10252" w:rsidRPr="00E81A6E" w:rsidRDefault="00E10252" w:rsidP="00F55B06">
      <w:pPr>
        <w:spacing w:after="0" w:line="240" w:lineRule="auto"/>
        <w:ind w:firstLine="720"/>
        <w:contextualSpacing/>
        <w:jc w:val="both"/>
        <w:rPr>
          <w:rFonts w:ascii="Times New Roman" w:hAnsi="Times New Roman" w:cs="Times New Roman"/>
          <w:sz w:val="24"/>
          <w:szCs w:val="24"/>
          <w:lang w:val="ru-RU"/>
        </w:rPr>
      </w:pPr>
    </w:p>
    <w:p w14:paraId="48A9065B"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u w:val="single"/>
          <w:lang w:val="bg-BG"/>
        </w:rPr>
      </w:pPr>
      <w:r w:rsidRPr="00E81A6E">
        <w:rPr>
          <w:rFonts w:ascii="Times New Roman" w:hAnsi="Times New Roman" w:cs="Times New Roman"/>
          <w:sz w:val="24"/>
          <w:szCs w:val="24"/>
          <w:lang w:val="ru-RU"/>
        </w:rPr>
        <w:t>Функция “Здравеопазване”</w:t>
      </w:r>
    </w:p>
    <w:p w14:paraId="1765B4F1"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разчет 81,7</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млн.лв., изпълнението </w:t>
      </w:r>
      <w:r w:rsidRPr="00E81A6E">
        <w:rPr>
          <w:rFonts w:ascii="Times New Roman" w:hAnsi="Times New Roman" w:cs="Times New Roman"/>
          <w:sz w:val="24"/>
          <w:szCs w:val="24"/>
        </w:rPr>
        <w:t>e</w:t>
      </w:r>
      <w:r w:rsidRPr="00E81A6E">
        <w:rPr>
          <w:rFonts w:ascii="Times New Roman" w:hAnsi="Times New Roman" w:cs="Times New Roman"/>
          <w:sz w:val="24"/>
          <w:szCs w:val="24"/>
          <w:lang w:val="ru-RU"/>
        </w:rPr>
        <w:t xml:space="preserve"> 51,9</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или 63,4 на сто, от които по източници на финансиране: 31,7  млн.лв. делегирани държавни дейности или изпълнение 90,8 на сто. </w:t>
      </w:r>
    </w:p>
    <w:p w14:paraId="33DB39E6" w14:textId="77777777" w:rsidR="004B3F0C"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За местни дейности изпълнението е 15,</w:t>
      </w:r>
      <w:r w:rsidR="004B3F0C" w:rsidRPr="00E81A6E">
        <w:rPr>
          <w:rFonts w:ascii="Times New Roman" w:hAnsi="Times New Roman" w:cs="Times New Roman"/>
          <w:sz w:val="24"/>
          <w:szCs w:val="24"/>
          <w:lang w:val="ru-RU"/>
        </w:rPr>
        <w:t>8</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млн.лв. или 37,4 на сто, в т.ч. за </w:t>
      </w:r>
      <w:r w:rsidR="004B3F0C" w:rsidRPr="00E81A6E">
        <w:rPr>
          <w:rFonts w:ascii="Times New Roman" w:hAnsi="Times New Roman" w:cs="Times New Roman"/>
          <w:sz w:val="24"/>
          <w:szCs w:val="24"/>
          <w:lang w:val="ru-RU"/>
        </w:rPr>
        <w:t xml:space="preserve">текущи разходи 14,4 млн.лв. – 86,7 на сто. За </w:t>
      </w:r>
      <w:r w:rsidRPr="00E81A6E">
        <w:rPr>
          <w:rFonts w:ascii="Times New Roman" w:hAnsi="Times New Roman" w:cs="Times New Roman"/>
          <w:sz w:val="24"/>
          <w:szCs w:val="24"/>
          <w:lang w:val="ru-RU"/>
        </w:rPr>
        <w:t xml:space="preserve">капиталови разходи </w:t>
      </w:r>
      <w:r w:rsidR="004B3F0C" w:rsidRPr="00E81A6E">
        <w:rPr>
          <w:rFonts w:ascii="Times New Roman" w:hAnsi="Times New Roman" w:cs="Times New Roman"/>
          <w:sz w:val="24"/>
          <w:szCs w:val="24"/>
          <w:lang w:val="ru-RU"/>
        </w:rPr>
        <w:t xml:space="preserve">са изразходвани </w:t>
      </w:r>
      <w:r w:rsidRPr="00E81A6E">
        <w:rPr>
          <w:rFonts w:ascii="Times New Roman" w:hAnsi="Times New Roman" w:cs="Times New Roman"/>
          <w:sz w:val="24"/>
          <w:szCs w:val="24"/>
          <w:lang w:val="ru-RU"/>
        </w:rPr>
        <w:t>1,</w:t>
      </w:r>
      <w:r w:rsidR="004B3F0C"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млн.лв.</w:t>
      </w:r>
      <w:r w:rsidRPr="00E81A6E">
        <w:rPr>
          <w:rFonts w:ascii="Times New Roman" w:hAnsi="Times New Roman" w:cs="Times New Roman"/>
          <w:sz w:val="24"/>
          <w:szCs w:val="24"/>
          <w:lang w:val="ru-RU"/>
        </w:rPr>
        <w:t xml:space="preserve"> </w:t>
      </w:r>
    </w:p>
    <w:p w14:paraId="7C48F6CE"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Дофинансирането на държавни дейности с местни приходи е с изпълнение в размер на 4,</w:t>
      </w:r>
      <w:r w:rsidR="00AC2CCC" w:rsidRPr="00E81A6E">
        <w:rPr>
          <w:rFonts w:ascii="Times New Roman" w:hAnsi="Times New Roman" w:cs="Times New Roman"/>
          <w:sz w:val="24"/>
          <w:szCs w:val="24"/>
          <w:lang w:val="ru-RU"/>
        </w:rPr>
        <w:t>4</w:t>
      </w:r>
      <w:r w:rsidRPr="00E81A6E">
        <w:rPr>
          <w:rFonts w:ascii="Times New Roman" w:hAnsi="Times New Roman" w:cs="Times New Roman"/>
          <w:sz w:val="24"/>
          <w:szCs w:val="24"/>
          <w:lang w:val="bg-BG"/>
        </w:rPr>
        <w:t>млн</w:t>
      </w:r>
      <w:r w:rsidRPr="00E81A6E">
        <w:rPr>
          <w:rFonts w:ascii="Times New Roman" w:hAnsi="Times New Roman" w:cs="Times New Roman"/>
          <w:sz w:val="24"/>
          <w:szCs w:val="24"/>
          <w:lang w:val="ru-RU"/>
        </w:rPr>
        <w:t xml:space="preserve">. лв. </w:t>
      </w:r>
      <w:r w:rsidRPr="00E81A6E">
        <w:rPr>
          <w:rFonts w:ascii="Times New Roman" w:hAnsi="Times New Roman" w:cs="Times New Roman"/>
          <w:sz w:val="24"/>
          <w:szCs w:val="24"/>
          <w:lang w:val="bg-BG"/>
        </w:rPr>
        <w:t>или 94,3 на сто</w:t>
      </w:r>
      <w:r w:rsidRPr="00E81A6E">
        <w:rPr>
          <w:rFonts w:ascii="Times New Roman" w:hAnsi="Times New Roman" w:cs="Times New Roman"/>
          <w:sz w:val="24"/>
          <w:szCs w:val="24"/>
          <w:lang w:val="ru-RU"/>
        </w:rPr>
        <w:t>.</w:t>
      </w:r>
    </w:p>
    <w:p w14:paraId="16313D44" w14:textId="77777777" w:rsidR="00D95F30" w:rsidRPr="00E81A6E" w:rsidRDefault="00D95F30" w:rsidP="00F55B06">
      <w:pPr>
        <w:spacing w:after="0" w:line="240" w:lineRule="auto"/>
        <w:ind w:firstLine="720"/>
        <w:contextualSpacing/>
        <w:jc w:val="both"/>
        <w:rPr>
          <w:rFonts w:ascii="Times New Roman" w:hAnsi="Times New Roman" w:cs="Times New Roman"/>
          <w:sz w:val="24"/>
          <w:szCs w:val="24"/>
          <w:lang w:val="ru-RU"/>
        </w:rPr>
      </w:pPr>
    </w:p>
    <w:p w14:paraId="7A081A10"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Функция “Социално осигуряване, подпомагане и грижи”</w:t>
      </w:r>
    </w:p>
    <w:p w14:paraId="23DCD924"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Изпълнението е </w:t>
      </w:r>
      <w:r w:rsidRPr="00E81A6E">
        <w:rPr>
          <w:rFonts w:ascii="Times New Roman" w:hAnsi="Times New Roman" w:cs="Times New Roman"/>
          <w:sz w:val="24"/>
          <w:szCs w:val="24"/>
        </w:rPr>
        <w:t>83,9</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при разчет 97,</w:t>
      </w:r>
      <w:r w:rsidRPr="00E81A6E">
        <w:rPr>
          <w:rFonts w:ascii="Times New Roman" w:hAnsi="Times New Roman" w:cs="Times New Roman"/>
          <w:sz w:val="24"/>
          <w:szCs w:val="24"/>
        </w:rPr>
        <w:t>3</w:t>
      </w:r>
      <w:r w:rsidRPr="00E81A6E">
        <w:rPr>
          <w:rFonts w:ascii="Times New Roman" w:hAnsi="Times New Roman" w:cs="Times New Roman"/>
          <w:sz w:val="24"/>
          <w:szCs w:val="24"/>
          <w:lang w:val="ru-RU"/>
        </w:rPr>
        <w:t xml:space="preserve"> млн.лв., или </w:t>
      </w:r>
      <w:r w:rsidRPr="00E81A6E">
        <w:rPr>
          <w:rFonts w:ascii="Times New Roman" w:hAnsi="Times New Roman" w:cs="Times New Roman"/>
          <w:sz w:val="24"/>
          <w:szCs w:val="24"/>
        </w:rPr>
        <w:t>86,2</w:t>
      </w:r>
      <w:r w:rsidRPr="00E81A6E">
        <w:rPr>
          <w:rFonts w:ascii="Times New Roman" w:hAnsi="Times New Roman" w:cs="Times New Roman"/>
          <w:sz w:val="24"/>
          <w:szCs w:val="24"/>
          <w:lang w:val="ru-RU"/>
        </w:rPr>
        <w:t xml:space="preserve"> на сто. За делегираните държавни дейности изпълнението е </w:t>
      </w:r>
      <w:r w:rsidRPr="00E81A6E">
        <w:rPr>
          <w:rFonts w:ascii="Times New Roman" w:hAnsi="Times New Roman" w:cs="Times New Roman"/>
          <w:sz w:val="24"/>
          <w:szCs w:val="24"/>
        </w:rPr>
        <w:t>63</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4</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или </w:t>
      </w:r>
      <w:r w:rsidRPr="00E81A6E">
        <w:rPr>
          <w:rFonts w:ascii="Times New Roman" w:hAnsi="Times New Roman" w:cs="Times New Roman"/>
          <w:sz w:val="24"/>
          <w:szCs w:val="24"/>
        </w:rPr>
        <w:t>88,4</w:t>
      </w:r>
      <w:r w:rsidRPr="00E81A6E">
        <w:rPr>
          <w:rFonts w:ascii="Times New Roman" w:hAnsi="Times New Roman" w:cs="Times New Roman"/>
          <w:sz w:val="24"/>
          <w:szCs w:val="24"/>
          <w:lang w:val="ru-RU"/>
        </w:rPr>
        <w:t xml:space="preserve"> на сто. За местните дейности са изразходвани </w:t>
      </w:r>
      <w:r w:rsidRPr="00E81A6E">
        <w:rPr>
          <w:rFonts w:ascii="Times New Roman" w:hAnsi="Times New Roman" w:cs="Times New Roman"/>
          <w:sz w:val="24"/>
          <w:szCs w:val="24"/>
        </w:rPr>
        <w:t>1</w:t>
      </w:r>
      <w:r w:rsidR="00AC2CCC" w:rsidRPr="00E81A6E">
        <w:rPr>
          <w:rFonts w:ascii="Times New Roman" w:hAnsi="Times New Roman" w:cs="Times New Roman"/>
          <w:sz w:val="24"/>
          <w:szCs w:val="24"/>
          <w:lang w:val="bg-BG"/>
        </w:rPr>
        <w:t>3</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0</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или 8</w:t>
      </w:r>
      <w:r w:rsidRPr="00E81A6E">
        <w:rPr>
          <w:rFonts w:ascii="Times New Roman" w:hAnsi="Times New Roman" w:cs="Times New Roman"/>
          <w:sz w:val="24"/>
          <w:szCs w:val="24"/>
        </w:rPr>
        <w:t>3,5</w:t>
      </w:r>
      <w:r w:rsidRPr="00E81A6E">
        <w:rPr>
          <w:rFonts w:ascii="Times New Roman" w:hAnsi="Times New Roman" w:cs="Times New Roman"/>
          <w:sz w:val="24"/>
          <w:szCs w:val="24"/>
          <w:lang w:val="ru-RU"/>
        </w:rPr>
        <w:t xml:space="preserve"> на сто и дофинансиране </w:t>
      </w:r>
      <w:r w:rsidRPr="00E81A6E">
        <w:rPr>
          <w:rFonts w:ascii="Times New Roman" w:hAnsi="Times New Roman" w:cs="Times New Roman"/>
          <w:sz w:val="24"/>
          <w:szCs w:val="24"/>
        </w:rPr>
        <w:t>2,1</w:t>
      </w:r>
      <w:r w:rsidRPr="00E81A6E">
        <w:rPr>
          <w:rFonts w:ascii="Times New Roman" w:hAnsi="Times New Roman" w:cs="Times New Roman"/>
          <w:sz w:val="24"/>
          <w:szCs w:val="24"/>
          <w:lang w:val="bg-BG"/>
        </w:rPr>
        <w:t xml:space="preserve"> млн.лв. – </w:t>
      </w:r>
      <w:r w:rsidRPr="00E81A6E">
        <w:rPr>
          <w:rFonts w:ascii="Times New Roman" w:hAnsi="Times New Roman" w:cs="Times New Roman"/>
          <w:sz w:val="24"/>
          <w:szCs w:val="24"/>
        </w:rPr>
        <w:t>50</w:t>
      </w:r>
      <w:r w:rsidRPr="00E81A6E">
        <w:rPr>
          <w:rFonts w:ascii="Times New Roman" w:hAnsi="Times New Roman" w:cs="Times New Roman"/>
          <w:sz w:val="24"/>
          <w:szCs w:val="24"/>
          <w:lang w:val="bg-BG"/>
        </w:rPr>
        <w:t>,</w:t>
      </w:r>
      <w:r w:rsidRPr="00E81A6E">
        <w:rPr>
          <w:rFonts w:ascii="Times New Roman" w:hAnsi="Times New Roman" w:cs="Times New Roman"/>
          <w:sz w:val="24"/>
          <w:szCs w:val="24"/>
        </w:rPr>
        <w:t>6</w:t>
      </w:r>
      <w:r w:rsidRPr="00E81A6E">
        <w:rPr>
          <w:rFonts w:ascii="Times New Roman" w:hAnsi="Times New Roman" w:cs="Times New Roman"/>
          <w:sz w:val="24"/>
          <w:szCs w:val="24"/>
          <w:lang w:val="bg-BG"/>
        </w:rPr>
        <w:t xml:space="preserve"> на сто</w:t>
      </w:r>
      <w:r w:rsidR="00C93799" w:rsidRPr="00E81A6E">
        <w:rPr>
          <w:rFonts w:ascii="Times New Roman" w:hAnsi="Times New Roman" w:cs="Times New Roman"/>
          <w:sz w:val="24"/>
          <w:szCs w:val="24"/>
          <w:lang w:val="bg-BG"/>
        </w:rPr>
        <w:t>, от които за текущи дейности</w:t>
      </w:r>
      <w:r w:rsidR="007576CD" w:rsidRPr="00E81A6E">
        <w:rPr>
          <w:rFonts w:ascii="Times New Roman" w:hAnsi="Times New Roman" w:cs="Times New Roman"/>
          <w:sz w:val="24"/>
          <w:szCs w:val="24"/>
          <w:lang w:val="bg-BG"/>
        </w:rPr>
        <w:t xml:space="preserve"> 92,1 на сто</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За социален патронаж са разчетени с бюджета </w:t>
      </w:r>
      <w:r w:rsidRPr="00E81A6E">
        <w:rPr>
          <w:rFonts w:ascii="Times New Roman" w:hAnsi="Times New Roman" w:cs="Times New Roman"/>
          <w:sz w:val="24"/>
          <w:szCs w:val="24"/>
          <w:lang w:val="bg-BG"/>
        </w:rPr>
        <w:t>5</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9</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млн.лв., а отчетът е </w:t>
      </w:r>
      <w:r w:rsidRPr="00E81A6E">
        <w:rPr>
          <w:rFonts w:ascii="Times New Roman" w:hAnsi="Times New Roman" w:cs="Times New Roman"/>
          <w:sz w:val="24"/>
          <w:szCs w:val="24"/>
        </w:rPr>
        <w:t>5</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4</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или </w:t>
      </w:r>
      <w:r w:rsidRPr="00E81A6E">
        <w:rPr>
          <w:rFonts w:ascii="Times New Roman" w:hAnsi="Times New Roman" w:cs="Times New Roman"/>
          <w:sz w:val="24"/>
          <w:szCs w:val="24"/>
        </w:rPr>
        <w:t>91,3</w:t>
      </w:r>
      <w:r w:rsidRPr="00E81A6E">
        <w:rPr>
          <w:rFonts w:ascii="Times New Roman" w:hAnsi="Times New Roman" w:cs="Times New Roman"/>
          <w:sz w:val="24"/>
          <w:szCs w:val="24"/>
          <w:lang w:val="ru-RU"/>
        </w:rPr>
        <w:t xml:space="preserve"> на сто. </w:t>
      </w:r>
    </w:p>
    <w:p w14:paraId="6A830155"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 дейност 589 - “Други дейности по социално осигуряване, подпомагане и заетост”, в държавни дейности се отразяват средствата по </w:t>
      </w:r>
      <w:r w:rsidR="00A95DB6" w:rsidRPr="00E81A6E">
        <w:rPr>
          <w:rFonts w:ascii="Times New Roman" w:hAnsi="Times New Roman" w:cs="Times New Roman"/>
          <w:sz w:val="24"/>
          <w:szCs w:val="24"/>
          <w:lang w:val="ru-RU"/>
        </w:rPr>
        <w:t>Н</w:t>
      </w:r>
      <w:r w:rsidRPr="00E81A6E">
        <w:rPr>
          <w:rFonts w:ascii="Times New Roman" w:hAnsi="Times New Roman" w:cs="Times New Roman"/>
          <w:sz w:val="24"/>
          <w:szCs w:val="24"/>
          <w:lang w:val="ru-RU"/>
        </w:rPr>
        <w:t>аредба №2/31</w:t>
      </w:r>
      <w:r w:rsidR="00A95DB6"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03</w:t>
      </w:r>
      <w:r w:rsidR="00A95DB6"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2006г. в размер на </w:t>
      </w:r>
      <w:r w:rsidRPr="00E81A6E">
        <w:rPr>
          <w:rFonts w:ascii="Times New Roman" w:hAnsi="Times New Roman" w:cs="Times New Roman"/>
          <w:sz w:val="24"/>
          <w:szCs w:val="24"/>
          <w:lang w:val="ru-RU"/>
        </w:rPr>
        <w:lastRenderedPageBreak/>
        <w:t>2</w:t>
      </w:r>
      <w:r w:rsidRPr="00E81A6E">
        <w:rPr>
          <w:rFonts w:ascii="Times New Roman" w:hAnsi="Times New Roman" w:cs="Times New Roman"/>
          <w:sz w:val="24"/>
          <w:szCs w:val="24"/>
        </w:rPr>
        <w:t>0</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млн.лв. по бюджет и 2</w:t>
      </w:r>
      <w:r w:rsidRPr="00E81A6E">
        <w:rPr>
          <w:rFonts w:ascii="Times New Roman" w:hAnsi="Times New Roman" w:cs="Times New Roman"/>
          <w:sz w:val="24"/>
          <w:szCs w:val="24"/>
        </w:rPr>
        <w:t>0,1</w:t>
      </w:r>
      <w:r w:rsidRPr="00E81A6E">
        <w:rPr>
          <w:rFonts w:ascii="Times New Roman" w:hAnsi="Times New Roman" w:cs="Times New Roman"/>
          <w:sz w:val="24"/>
          <w:szCs w:val="24"/>
          <w:lang w:val="ru-RU"/>
        </w:rPr>
        <w:t xml:space="preserve"> млн.лв. по отчет за периода, за компенсации за безплатни и по намалени цени пътувания на ветерани от войните, военноинвалиди, военнопострадали, учащи, граждани по чл. 68, ал.1-3 от К</w:t>
      </w:r>
      <w:r w:rsidR="00E43EB5" w:rsidRPr="00E81A6E">
        <w:rPr>
          <w:rFonts w:ascii="Times New Roman" w:hAnsi="Times New Roman" w:cs="Times New Roman"/>
          <w:sz w:val="24"/>
          <w:szCs w:val="24"/>
          <w:lang w:val="ru-RU"/>
        </w:rPr>
        <w:t>одекса за социално осигуряване,</w:t>
      </w:r>
      <w:r w:rsidRPr="00E81A6E">
        <w:rPr>
          <w:rFonts w:ascii="Times New Roman" w:hAnsi="Times New Roman" w:cs="Times New Roman"/>
          <w:sz w:val="24"/>
          <w:szCs w:val="24"/>
          <w:lang w:val="ru-RU"/>
        </w:rPr>
        <w:t xml:space="preserve"> в т.ч. междуселищни пътувания в границите на областта и на държавни служители на МВР. Средствата са от централния бюджет.</w:t>
      </w:r>
    </w:p>
    <w:p w14:paraId="3ED7101E"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bg-BG"/>
        </w:rPr>
      </w:pPr>
      <w:r w:rsidRPr="00E81A6E">
        <w:rPr>
          <w:rFonts w:ascii="Times New Roman" w:hAnsi="Times New Roman" w:cs="Times New Roman"/>
          <w:sz w:val="24"/>
          <w:szCs w:val="24"/>
          <w:lang w:val="ru-RU"/>
        </w:rPr>
        <w:t>Функция “Жилищно строителство, комунално стопанство”</w:t>
      </w:r>
    </w:p>
    <w:p w14:paraId="5B921A80"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разчет 39</w:t>
      </w:r>
      <w:r w:rsidRPr="00E81A6E">
        <w:rPr>
          <w:rFonts w:ascii="Times New Roman" w:hAnsi="Times New Roman" w:cs="Times New Roman"/>
          <w:sz w:val="24"/>
          <w:szCs w:val="24"/>
        </w:rPr>
        <w:t>1</w:t>
      </w:r>
      <w:r w:rsidRPr="00E81A6E">
        <w:rPr>
          <w:rFonts w:ascii="Times New Roman" w:hAnsi="Times New Roman" w:cs="Times New Roman"/>
          <w:sz w:val="24"/>
          <w:szCs w:val="24"/>
          <w:lang w:val="ru-RU"/>
        </w:rPr>
        <w:t>,2</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изпълнението е 3</w:t>
      </w:r>
      <w:r w:rsidRPr="00E81A6E">
        <w:rPr>
          <w:rFonts w:ascii="Times New Roman" w:hAnsi="Times New Roman" w:cs="Times New Roman"/>
          <w:sz w:val="24"/>
          <w:szCs w:val="24"/>
        </w:rPr>
        <w:t>26</w:t>
      </w:r>
      <w:r w:rsidRPr="00E81A6E">
        <w:rPr>
          <w:rFonts w:ascii="Times New Roman" w:hAnsi="Times New Roman" w:cs="Times New Roman"/>
          <w:sz w:val="24"/>
          <w:szCs w:val="24"/>
          <w:lang w:val="ru-RU"/>
        </w:rPr>
        <w:t>,</w:t>
      </w:r>
      <w:r w:rsidR="00A95DB6" w:rsidRPr="00E81A6E">
        <w:rPr>
          <w:rFonts w:ascii="Times New Roman" w:hAnsi="Times New Roman" w:cs="Times New Roman"/>
          <w:sz w:val="24"/>
          <w:szCs w:val="24"/>
          <w:lang w:val="ru-RU"/>
        </w:rPr>
        <w:t>2</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или 8</w:t>
      </w:r>
      <w:r w:rsidRPr="00E81A6E">
        <w:rPr>
          <w:rFonts w:ascii="Times New Roman" w:hAnsi="Times New Roman" w:cs="Times New Roman"/>
          <w:sz w:val="24"/>
          <w:szCs w:val="24"/>
        </w:rPr>
        <w:t>3,4</w:t>
      </w:r>
      <w:r w:rsidRPr="00E81A6E">
        <w:rPr>
          <w:rFonts w:ascii="Times New Roman" w:hAnsi="Times New Roman" w:cs="Times New Roman"/>
          <w:sz w:val="24"/>
          <w:szCs w:val="24"/>
          <w:lang w:val="ru-RU"/>
        </w:rPr>
        <w:t xml:space="preserve"> на сто, в това число за текущи разходи при план 2</w:t>
      </w:r>
      <w:r w:rsidRPr="00E81A6E">
        <w:rPr>
          <w:rFonts w:ascii="Times New Roman" w:hAnsi="Times New Roman" w:cs="Times New Roman"/>
          <w:sz w:val="24"/>
          <w:szCs w:val="24"/>
        </w:rPr>
        <w:t>92</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6</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изпълнението е 26</w:t>
      </w:r>
      <w:r w:rsidRPr="00E81A6E">
        <w:rPr>
          <w:rFonts w:ascii="Times New Roman" w:hAnsi="Times New Roman" w:cs="Times New Roman"/>
          <w:sz w:val="24"/>
          <w:szCs w:val="24"/>
        </w:rPr>
        <w:t>6</w:t>
      </w:r>
      <w:r w:rsidRPr="00E81A6E">
        <w:rPr>
          <w:rFonts w:ascii="Times New Roman" w:hAnsi="Times New Roman" w:cs="Times New Roman"/>
          <w:sz w:val="24"/>
          <w:szCs w:val="24"/>
          <w:lang w:val="ru-RU"/>
        </w:rPr>
        <w:t>,</w:t>
      </w:r>
      <w:r w:rsidR="00A95DB6"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 xml:space="preserve"> млн.лв. или 9</w:t>
      </w:r>
      <w:r w:rsidRPr="00E81A6E">
        <w:rPr>
          <w:rFonts w:ascii="Times New Roman" w:hAnsi="Times New Roman" w:cs="Times New Roman"/>
          <w:sz w:val="24"/>
          <w:szCs w:val="24"/>
        </w:rPr>
        <w:t>1</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1</w:t>
      </w:r>
      <w:r w:rsidRPr="00E81A6E">
        <w:rPr>
          <w:rFonts w:ascii="Times New Roman" w:hAnsi="Times New Roman" w:cs="Times New Roman"/>
          <w:sz w:val="24"/>
          <w:szCs w:val="24"/>
          <w:lang w:val="ru-RU"/>
        </w:rPr>
        <w:t xml:space="preserve"> на сто. Издръжката е изцяло разход от общинския бюджет. С висок относителен дял в раздела е дейност “Чистота” – при разчет 1</w:t>
      </w:r>
      <w:r w:rsidRPr="00E81A6E">
        <w:rPr>
          <w:rFonts w:ascii="Times New Roman" w:hAnsi="Times New Roman" w:cs="Times New Roman"/>
          <w:sz w:val="24"/>
          <w:szCs w:val="24"/>
        </w:rPr>
        <w:t>44</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8</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изпълнението е 13</w:t>
      </w:r>
      <w:r w:rsidRPr="00E81A6E">
        <w:rPr>
          <w:rFonts w:ascii="Times New Roman" w:hAnsi="Times New Roman" w:cs="Times New Roman"/>
          <w:sz w:val="24"/>
          <w:szCs w:val="24"/>
        </w:rPr>
        <w:t>7</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или 9</w:t>
      </w:r>
      <w:r w:rsidRPr="00E81A6E">
        <w:rPr>
          <w:rFonts w:ascii="Times New Roman" w:hAnsi="Times New Roman" w:cs="Times New Roman"/>
          <w:sz w:val="24"/>
          <w:szCs w:val="24"/>
        </w:rPr>
        <w:t>4</w:t>
      </w:r>
      <w:r w:rsidRPr="00E81A6E">
        <w:rPr>
          <w:rFonts w:ascii="Times New Roman" w:hAnsi="Times New Roman" w:cs="Times New Roman"/>
          <w:sz w:val="24"/>
          <w:szCs w:val="24"/>
          <w:lang w:val="ru-RU"/>
        </w:rPr>
        <w:t>,5 на сто за отчетния период.</w:t>
      </w:r>
    </w:p>
    <w:p w14:paraId="0F0F84E8" w14:textId="77777777" w:rsidR="00D95F30" w:rsidRPr="00E81A6E" w:rsidRDefault="00D95F30" w:rsidP="00F55B06">
      <w:pPr>
        <w:spacing w:after="0" w:line="240" w:lineRule="auto"/>
        <w:ind w:firstLine="720"/>
        <w:contextualSpacing/>
        <w:jc w:val="both"/>
        <w:rPr>
          <w:rFonts w:ascii="Times New Roman" w:hAnsi="Times New Roman" w:cs="Times New Roman"/>
          <w:sz w:val="24"/>
          <w:szCs w:val="24"/>
          <w:lang w:val="ru-RU"/>
        </w:rPr>
      </w:pPr>
    </w:p>
    <w:p w14:paraId="616A7B0A"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Функция “Отбрана и сигурност” </w:t>
      </w:r>
    </w:p>
    <w:p w14:paraId="4CFF28C4"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разчет 1</w:t>
      </w:r>
      <w:r w:rsidRPr="00E81A6E">
        <w:rPr>
          <w:rFonts w:ascii="Times New Roman" w:hAnsi="Times New Roman" w:cs="Times New Roman"/>
          <w:sz w:val="24"/>
          <w:szCs w:val="24"/>
        </w:rPr>
        <w:t>8,</w:t>
      </w:r>
      <w:r w:rsidR="004B5741" w:rsidRPr="00E81A6E">
        <w:rPr>
          <w:rFonts w:ascii="Times New Roman" w:hAnsi="Times New Roman" w:cs="Times New Roman"/>
          <w:sz w:val="24"/>
          <w:szCs w:val="24"/>
          <w:lang w:val="bg-BG"/>
        </w:rPr>
        <w:t>6</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изпълнението е 12,</w:t>
      </w:r>
      <w:r w:rsidRPr="00E81A6E">
        <w:rPr>
          <w:rFonts w:ascii="Times New Roman" w:hAnsi="Times New Roman" w:cs="Times New Roman"/>
          <w:sz w:val="24"/>
          <w:szCs w:val="24"/>
        </w:rPr>
        <w:t>8</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или 6</w:t>
      </w:r>
      <w:r w:rsidRPr="00E81A6E">
        <w:rPr>
          <w:rFonts w:ascii="Times New Roman" w:hAnsi="Times New Roman" w:cs="Times New Roman"/>
          <w:sz w:val="24"/>
          <w:szCs w:val="24"/>
        </w:rPr>
        <w:t>8</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9</w:t>
      </w:r>
      <w:r w:rsidRPr="00E81A6E">
        <w:rPr>
          <w:rFonts w:ascii="Times New Roman" w:hAnsi="Times New Roman" w:cs="Times New Roman"/>
          <w:sz w:val="24"/>
          <w:szCs w:val="24"/>
          <w:lang w:val="ru-RU"/>
        </w:rPr>
        <w:t xml:space="preserve"> на сто. В т.ч. </w:t>
      </w:r>
      <w:r w:rsidRPr="00E81A6E">
        <w:rPr>
          <w:rFonts w:ascii="Times New Roman" w:hAnsi="Times New Roman" w:cs="Times New Roman"/>
          <w:sz w:val="24"/>
          <w:szCs w:val="24"/>
        </w:rPr>
        <w:t>8,</w:t>
      </w:r>
      <w:r w:rsidR="00AC2CCC" w:rsidRPr="00E81A6E">
        <w:rPr>
          <w:rFonts w:ascii="Times New Roman" w:hAnsi="Times New Roman" w:cs="Times New Roman"/>
          <w:sz w:val="24"/>
          <w:szCs w:val="24"/>
          <w:lang w:val="bg-BG"/>
        </w:rPr>
        <w:t>2</w:t>
      </w:r>
      <w:r w:rsidRPr="00E81A6E">
        <w:rPr>
          <w:rFonts w:ascii="Times New Roman" w:hAnsi="Times New Roman" w:cs="Times New Roman"/>
          <w:sz w:val="24"/>
          <w:szCs w:val="24"/>
          <w:lang w:val="bg-BG"/>
        </w:rPr>
        <w:t xml:space="preserve"> млн.лв.</w:t>
      </w:r>
      <w:r w:rsidRPr="00E81A6E">
        <w:rPr>
          <w:rFonts w:ascii="Times New Roman" w:hAnsi="Times New Roman" w:cs="Times New Roman"/>
          <w:sz w:val="24"/>
          <w:szCs w:val="24"/>
          <w:lang w:val="ru-RU"/>
        </w:rPr>
        <w:t xml:space="preserve"> или </w:t>
      </w:r>
      <w:r w:rsidRPr="00E81A6E">
        <w:rPr>
          <w:rFonts w:ascii="Times New Roman" w:hAnsi="Times New Roman" w:cs="Times New Roman"/>
          <w:sz w:val="24"/>
          <w:szCs w:val="24"/>
        </w:rPr>
        <w:t>72</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4</w:t>
      </w:r>
      <w:r w:rsidRPr="00E81A6E">
        <w:rPr>
          <w:rFonts w:ascii="Times New Roman" w:hAnsi="Times New Roman" w:cs="Times New Roman"/>
          <w:sz w:val="24"/>
          <w:szCs w:val="24"/>
          <w:lang w:val="ru-RU"/>
        </w:rPr>
        <w:t xml:space="preserve"> на сто изпълнение на държавни дейности, </w:t>
      </w:r>
      <w:r w:rsidRPr="00E81A6E">
        <w:rPr>
          <w:rFonts w:ascii="Times New Roman" w:hAnsi="Times New Roman" w:cs="Times New Roman"/>
          <w:sz w:val="24"/>
          <w:szCs w:val="24"/>
        </w:rPr>
        <w:t>4</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4</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млн.лв. изпълнение на местни дейности или 6</w:t>
      </w:r>
      <w:r w:rsidRPr="00E81A6E">
        <w:rPr>
          <w:rFonts w:ascii="Times New Roman" w:hAnsi="Times New Roman" w:cs="Times New Roman"/>
          <w:sz w:val="24"/>
          <w:szCs w:val="24"/>
        </w:rPr>
        <w:t>3</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1</w:t>
      </w:r>
      <w:r w:rsidRPr="00E81A6E">
        <w:rPr>
          <w:rFonts w:ascii="Times New Roman" w:hAnsi="Times New Roman" w:cs="Times New Roman"/>
          <w:sz w:val="24"/>
          <w:szCs w:val="24"/>
          <w:lang w:val="ru-RU"/>
        </w:rPr>
        <w:t xml:space="preserve"> на сто, в това число изпълнение на текущи разходи в местни дейности </w:t>
      </w:r>
      <w:r w:rsidRPr="00E81A6E">
        <w:rPr>
          <w:rFonts w:ascii="Times New Roman" w:hAnsi="Times New Roman" w:cs="Times New Roman"/>
          <w:sz w:val="24"/>
          <w:szCs w:val="24"/>
        </w:rPr>
        <w:t>67</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4</w:t>
      </w:r>
      <w:r w:rsidRPr="00E81A6E">
        <w:rPr>
          <w:rFonts w:ascii="Times New Roman" w:hAnsi="Times New Roman" w:cs="Times New Roman"/>
          <w:sz w:val="24"/>
          <w:szCs w:val="24"/>
          <w:lang w:val="ru-RU"/>
        </w:rPr>
        <w:t xml:space="preserve"> на сто. Изпълнението на капиталовите разходи е </w:t>
      </w:r>
      <w:r w:rsidRPr="00E81A6E">
        <w:rPr>
          <w:rFonts w:ascii="Times New Roman" w:hAnsi="Times New Roman" w:cs="Times New Roman"/>
          <w:sz w:val="24"/>
          <w:szCs w:val="24"/>
        </w:rPr>
        <w:t>53</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2</w:t>
      </w:r>
      <w:r w:rsidRPr="00E81A6E">
        <w:rPr>
          <w:rFonts w:ascii="Times New Roman" w:hAnsi="Times New Roman" w:cs="Times New Roman"/>
          <w:sz w:val="24"/>
          <w:szCs w:val="24"/>
          <w:lang w:val="ru-RU"/>
        </w:rPr>
        <w:t xml:space="preserve"> на сто. За дофинансиране изпълнението е 24</w:t>
      </w:r>
      <w:r w:rsidRPr="00E81A6E">
        <w:rPr>
          <w:rFonts w:ascii="Times New Roman" w:hAnsi="Times New Roman" w:cs="Times New Roman"/>
          <w:sz w:val="24"/>
          <w:szCs w:val="24"/>
        </w:rPr>
        <w:t>4</w:t>
      </w:r>
      <w:r w:rsidRPr="00E81A6E">
        <w:rPr>
          <w:rFonts w:ascii="Times New Roman" w:hAnsi="Times New Roman" w:cs="Times New Roman"/>
          <w:sz w:val="24"/>
          <w:szCs w:val="24"/>
          <w:lang w:val="ru-RU"/>
        </w:rPr>
        <w:t>,</w:t>
      </w:r>
      <w:r w:rsidR="00AC2CCC" w:rsidRPr="00E81A6E">
        <w:rPr>
          <w:rFonts w:ascii="Times New Roman" w:hAnsi="Times New Roman" w:cs="Times New Roman"/>
          <w:sz w:val="24"/>
          <w:szCs w:val="24"/>
          <w:lang w:val="ru-RU"/>
        </w:rPr>
        <w:t>6</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хил. лв. или 73,</w:t>
      </w:r>
      <w:r w:rsidRPr="00E81A6E">
        <w:rPr>
          <w:rFonts w:ascii="Times New Roman" w:hAnsi="Times New Roman" w:cs="Times New Roman"/>
          <w:sz w:val="24"/>
          <w:szCs w:val="24"/>
        </w:rPr>
        <w:t>2</w:t>
      </w:r>
      <w:r w:rsidRPr="00E81A6E">
        <w:rPr>
          <w:rFonts w:ascii="Times New Roman" w:hAnsi="Times New Roman" w:cs="Times New Roman"/>
          <w:sz w:val="24"/>
          <w:szCs w:val="24"/>
          <w:lang w:val="ru-RU"/>
        </w:rPr>
        <w:t xml:space="preserve"> на сто.</w:t>
      </w:r>
    </w:p>
    <w:p w14:paraId="73CBC3E3"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6B26CFC0"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Функция “Почивно дело, култура и религиозни дейности”. </w:t>
      </w:r>
    </w:p>
    <w:p w14:paraId="4AFCF55B"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При разчет </w:t>
      </w:r>
      <w:r w:rsidRPr="00E81A6E">
        <w:rPr>
          <w:rFonts w:ascii="Times New Roman" w:hAnsi="Times New Roman" w:cs="Times New Roman"/>
          <w:sz w:val="24"/>
          <w:szCs w:val="24"/>
          <w:lang w:val="bg-BG"/>
        </w:rPr>
        <w:t>5</w:t>
      </w:r>
      <w:r w:rsidRPr="00E81A6E">
        <w:rPr>
          <w:rFonts w:ascii="Times New Roman" w:hAnsi="Times New Roman" w:cs="Times New Roman"/>
          <w:sz w:val="24"/>
          <w:szCs w:val="24"/>
        </w:rPr>
        <w:t>1</w:t>
      </w:r>
      <w:r w:rsidRPr="00E81A6E">
        <w:rPr>
          <w:rFonts w:ascii="Times New Roman" w:hAnsi="Times New Roman" w:cs="Times New Roman"/>
          <w:sz w:val="24"/>
          <w:szCs w:val="24"/>
          <w:lang w:val="bg-BG"/>
        </w:rPr>
        <w:t>,2</w:t>
      </w:r>
      <w:r w:rsidRPr="00E81A6E">
        <w:rPr>
          <w:rFonts w:ascii="Times New Roman" w:hAnsi="Times New Roman" w:cs="Times New Roman"/>
          <w:sz w:val="24"/>
          <w:szCs w:val="24"/>
          <w:lang w:val="ru-RU"/>
        </w:rPr>
        <w:t xml:space="preserve">  млн.лв.,</w:t>
      </w:r>
      <w:r w:rsidR="004B5741"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изпълнението е 4</w:t>
      </w:r>
      <w:r w:rsidRPr="00E81A6E">
        <w:rPr>
          <w:rFonts w:ascii="Times New Roman" w:hAnsi="Times New Roman" w:cs="Times New Roman"/>
          <w:sz w:val="24"/>
          <w:szCs w:val="24"/>
        </w:rPr>
        <w:t>7</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6</w:t>
      </w:r>
      <w:r w:rsidRPr="00E81A6E">
        <w:rPr>
          <w:rFonts w:ascii="Times New Roman" w:hAnsi="Times New Roman" w:cs="Times New Roman"/>
          <w:sz w:val="24"/>
          <w:szCs w:val="24"/>
          <w:lang w:val="ru-RU"/>
        </w:rPr>
        <w:t xml:space="preserve">  млн.лв. – 9</w:t>
      </w:r>
      <w:r w:rsidR="00CE1973"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CE1973"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 xml:space="preserve"> на сто. В този раздел се отразява издръжката на Столична библиотека, културните домове, Столичните театри, Софийската художествена галерия, Зоопарк</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София и други дейности по културата, както и дейностите по физкултура, спорт и младежки дейности. В това число делегирани държавни дейности – изпълнение 9</w:t>
      </w:r>
      <w:r w:rsidR="00F76301" w:rsidRPr="00E81A6E">
        <w:rPr>
          <w:rFonts w:ascii="Times New Roman" w:hAnsi="Times New Roman" w:cs="Times New Roman"/>
          <w:sz w:val="24"/>
          <w:szCs w:val="24"/>
          <w:lang w:val="bg-BG"/>
        </w:rPr>
        <w:t>9</w:t>
      </w:r>
      <w:r w:rsidRPr="00E81A6E">
        <w:rPr>
          <w:rFonts w:ascii="Times New Roman" w:hAnsi="Times New Roman" w:cs="Times New Roman"/>
          <w:sz w:val="24"/>
          <w:szCs w:val="24"/>
          <w:lang w:val="ru-RU"/>
        </w:rPr>
        <w:t>,</w:t>
      </w:r>
      <w:r w:rsidR="00F76301"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 xml:space="preserve"> на сто, местни дейности </w:t>
      </w:r>
      <w:r w:rsidR="00F76301" w:rsidRPr="00E81A6E">
        <w:rPr>
          <w:rFonts w:ascii="Times New Roman" w:hAnsi="Times New Roman" w:cs="Times New Roman"/>
          <w:sz w:val="24"/>
          <w:szCs w:val="24"/>
          <w:lang w:val="ru-RU"/>
        </w:rPr>
        <w:t>90</w:t>
      </w:r>
      <w:r w:rsidRPr="00E81A6E">
        <w:rPr>
          <w:rFonts w:ascii="Times New Roman" w:hAnsi="Times New Roman" w:cs="Times New Roman"/>
          <w:sz w:val="24"/>
          <w:szCs w:val="24"/>
          <w:lang w:val="ru-RU"/>
        </w:rPr>
        <w:t>,</w:t>
      </w:r>
      <w:r w:rsidR="00F76301"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на сто и дофинансиране 9</w:t>
      </w:r>
      <w:r w:rsidRPr="00E81A6E">
        <w:rPr>
          <w:rFonts w:ascii="Times New Roman" w:hAnsi="Times New Roman" w:cs="Times New Roman"/>
          <w:sz w:val="24"/>
          <w:szCs w:val="24"/>
        </w:rPr>
        <w:t>9</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6</w:t>
      </w:r>
      <w:r w:rsidRPr="00E81A6E">
        <w:rPr>
          <w:rFonts w:ascii="Times New Roman" w:hAnsi="Times New Roman" w:cs="Times New Roman"/>
          <w:sz w:val="24"/>
          <w:szCs w:val="24"/>
          <w:lang w:val="ru-RU"/>
        </w:rPr>
        <w:t xml:space="preserve"> на сто.</w:t>
      </w:r>
    </w:p>
    <w:p w14:paraId="655D8098"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4F1B2D92"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Функция “Икономически дейности и услуги”.</w:t>
      </w:r>
    </w:p>
    <w:p w14:paraId="60B01886"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С висок относителен дял в тази функция е дейност 849 “Други дейности по транспорта”, по която в местните дейности са отчетени </w:t>
      </w:r>
      <w:r w:rsidRPr="00E81A6E">
        <w:rPr>
          <w:rFonts w:ascii="Times New Roman" w:hAnsi="Times New Roman" w:cs="Times New Roman"/>
          <w:sz w:val="24"/>
          <w:szCs w:val="24"/>
        </w:rPr>
        <w:t xml:space="preserve">193 </w:t>
      </w:r>
      <w:r w:rsidRPr="00E81A6E">
        <w:rPr>
          <w:rFonts w:ascii="Times New Roman" w:hAnsi="Times New Roman" w:cs="Times New Roman"/>
          <w:sz w:val="24"/>
          <w:szCs w:val="24"/>
          <w:lang w:val="ru-RU"/>
        </w:rPr>
        <w:t>млн.лв.</w:t>
      </w:r>
      <w:r w:rsidR="0047274C" w:rsidRPr="00E81A6E">
        <w:rPr>
          <w:rFonts w:ascii="Times New Roman" w:hAnsi="Times New Roman" w:cs="Times New Roman"/>
          <w:sz w:val="24"/>
          <w:szCs w:val="24"/>
          <w:lang w:val="ru-RU"/>
        </w:rPr>
        <w:t>, в това число 71 млн.лв.</w:t>
      </w:r>
      <w:r w:rsidRPr="00E81A6E">
        <w:rPr>
          <w:rFonts w:ascii="Times New Roman" w:hAnsi="Times New Roman" w:cs="Times New Roman"/>
          <w:sz w:val="24"/>
          <w:szCs w:val="24"/>
          <w:lang w:val="ru-RU"/>
        </w:rPr>
        <w:t xml:space="preserve"> или </w:t>
      </w:r>
      <w:r w:rsidRPr="00E81A6E">
        <w:rPr>
          <w:rFonts w:ascii="Times New Roman" w:hAnsi="Times New Roman" w:cs="Times New Roman"/>
          <w:sz w:val="24"/>
          <w:szCs w:val="24"/>
        </w:rPr>
        <w:t>100</w:t>
      </w:r>
      <w:r w:rsidRPr="00E81A6E">
        <w:rPr>
          <w:rFonts w:ascii="Times New Roman" w:hAnsi="Times New Roman" w:cs="Times New Roman"/>
          <w:sz w:val="24"/>
          <w:szCs w:val="24"/>
          <w:lang w:val="ru-RU"/>
        </w:rPr>
        <w:t xml:space="preserve"> на сто от годишния план за преференциални пътувания и </w:t>
      </w:r>
      <w:r w:rsidRPr="00E81A6E">
        <w:rPr>
          <w:rFonts w:ascii="Times New Roman" w:hAnsi="Times New Roman" w:cs="Times New Roman"/>
          <w:sz w:val="24"/>
          <w:szCs w:val="24"/>
        </w:rPr>
        <w:t>69</w:t>
      </w:r>
      <w:r w:rsidRPr="00E81A6E">
        <w:rPr>
          <w:rFonts w:ascii="Times New Roman" w:hAnsi="Times New Roman" w:cs="Times New Roman"/>
          <w:sz w:val="24"/>
          <w:szCs w:val="24"/>
          <w:lang w:val="ru-RU"/>
        </w:rPr>
        <w:t>,</w:t>
      </w:r>
      <w:r w:rsidRPr="00E81A6E">
        <w:rPr>
          <w:rFonts w:ascii="Times New Roman" w:hAnsi="Times New Roman" w:cs="Times New Roman"/>
          <w:sz w:val="24"/>
          <w:szCs w:val="24"/>
        </w:rPr>
        <w:t>5</w:t>
      </w:r>
      <w:r w:rsidRPr="00E81A6E">
        <w:rPr>
          <w:rFonts w:ascii="Times New Roman" w:hAnsi="Times New Roman" w:cs="Times New Roman"/>
          <w:sz w:val="24"/>
          <w:szCs w:val="24"/>
          <w:lang w:val="ru-RU"/>
        </w:rPr>
        <w:t xml:space="preserve"> млн.лв. или 100 на сто компенсации по Регламент 1370 на ЕК. </w:t>
      </w:r>
    </w:p>
    <w:p w14:paraId="5EA9A864"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 държавни дейности са отчетени средствата по Наредба № 3 от 4.4.2005г. – субсидия за вътрешноградски и междуселищни пътнически превози в размер на </w:t>
      </w:r>
      <w:r w:rsidRPr="00E81A6E">
        <w:rPr>
          <w:rFonts w:ascii="Times New Roman" w:hAnsi="Times New Roman" w:cs="Times New Roman"/>
          <w:sz w:val="24"/>
          <w:szCs w:val="24"/>
        </w:rPr>
        <w:t>11</w:t>
      </w:r>
      <w:r w:rsidRPr="00E81A6E">
        <w:rPr>
          <w:rFonts w:ascii="Times New Roman" w:hAnsi="Times New Roman" w:cs="Times New Roman"/>
          <w:sz w:val="24"/>
          <w:szCs w:val="24"/>
          <w:lang w:val="ru-RU"/>
        </w:rPr>
        <w:t xml:space="preserve"> млн.лв. за отчетния период от Централния бюджет.</w:t>
      </w:r>
    </w:p>
    <w:p w14:paraId="2DADEAC2"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0413D392"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Функция “Разходи, некласифицирани в други дейности” </w:t>
      </w:r>
    </w:p>
    <w:p w14:paraId="07A83945" w14:textId="77777777" w:rsidR="000D65A2"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Разходите за лихви по заеми са в размер на </w:t>
      </w:r>
      <w:r w:rsidRPr="00E81A6E">
        <w:rPr>
          <w:rFonts w:ascii="Times New Roman" w:hAnsi="Times New Roman" w:cs="Times New Roman"/>
          <w:sz w:val="24"/>
          <w:szCs w:val="24"/>
        </w:rPr>
        <w:t>18</w:t>
      </w:r>
      <w:r w:rsidRPr="00E81A6E">
        <w:rPr>
          <w:rFonts w:ascii="Times New Roman" w:hAnsi="Times New Roman" w:cs="Times New Roman"/>
          <w:sz w:val="24"/>
          <w:szCs w:val="24"/>
          <w:lang w:val="ru-RU"/>
        </w:rPr>
        <w:t>,</w:t>
      </w:r>
      <w:r w:rsidR="0047274C"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 xml:space="preserve"> млн.лв.</w:t>
      </w:r>
      <w:r w:rsidR="00C75D45" w:rsidRPr="00E81A6E">
        <w:rPr>
          <w:rFonts w:ascii="Times New Roman" w:hAnsi="Times New Roman" w:cs="Times New Roman"/>
          <w:sz w:val="24"/>
          <w:szCs w:val="24"/>
          <w:lang w:val="ru-RU"/>
        </w:rPr>
        <w:t xml:space="preserve"> за периода по отчет.</w:t>
      </w:r>
    </w:p>
    <w:p w14:paraId="5BA9CC81"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1C1752CC" w14:textId="77777777" w:rsidR="000D65A2" w:rsidRPr="00E81A6E" w:rsidRDefault="000D65A2" w:rsidP="00F55B06">
      <w:pPr>
        <w:keepNext/>
        <w:keepLines/>
        <w:spacing w:after="0" w:line="240" w:lineRule="auto"/>
        <w:ind w:firstLine="720"/>
        <w:contextualSpacing/>
        <w:outlineLvl w:val="3"/>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Функция “Общи държавни служби” </w:t>
      </w:r>
    </w:p>
    <w:p w14:paraId="45D01F18" w14:textId="77777777" w:rsidR="006C0FAE" w:rsidRPr="00E81A6E" w:rsidRDefault="000D65A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разчет 1</w:t>
      </w:r>
      <w:r w:rsidRPr="00E81A6E">
        <w:rPr>
          <w:rFonts w:ascii="Times New Roman" w:hAnsi="Times New Roman" w:cs="Times New Roman"/>
          <w:sz w:val="24"/>
          <w:szCs w:val="24"/>
        </w:rPr>
        <w:t>1</w:t>
      </w:r>
      <w:r w:rsidRPr="00E81A6E">
        <w:rPr>
          <w:rFonts w:ascii="Times New Roman" w:hAnsi="Times New Roman" w:cs="Times New Roman"/>
          <w:sz w:val="24"/>
          <w:szCs w:val="24"/>
          <w:lang w:val="ru-RU"/>
        </w:rPr>
        <w:t>9,7</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млн.лв. изпълнението е 1</w:t>
      </w:r>
      <w:r w:rsidRPr="00E81A6E">
        <w:rPr>
          <w:rFonts w:ascii="Times New Roman" w:hAnsi="Times New Roman" w:cs="Times New Roman"/>
          <w:sz w:val="24"/>
          <w:szCs w:val="24"/>
        </w:rPr>
        <w:t>01</w:t>
      </w:r>
      <w:r w:rsidRPr="00E81A6E">
        <w:rPr>
          <w:rFonts w:ascii="Times New Roman" w:hAnsi="Times New Roman" w:cs="Times New Roman"/>
          <w:sz w:val="24"/>
          <w:szCs w:val="24"/>
          <w:lang w:val="ru-RU"/>
        </w:rPr>
        <w:t xml:space="preserve"> млн.лв. или </w:t>
      </w:r>
      <w:r w:rsidRPr="00E81A6E">
        <w:rPr>
          <w:rFonts w:ascii="Times New Roman" w:hAnsi="Times New Roman" w:cs="Times New Roman"/>
          <w:sz w:val="24"/>
          <w:szCs w:val="24"/>
        </w:rPr>
        <w:t>8</w:t>
      </w:r>
      <w:r w:rsidR="00B17A30" w:rsidRPr="00E81A6E">
        <w:rPr>
          <w:rFonts w:ascii="Times New Roman" w:hAnsi="Times New Roman" w:cs="Times New Roman"/>
          <w:sz w:val="24"/>
          <w:szCs w:val="24"/>
          <w:lang w:val="bg-BG"/>
        </w:rPr>
        <w:t>4</w:t>
      </w:r>
      <w:r w:rsidRPr="00E81A6E">
        <w:rPr>
          <w:rFonts w:ascii="Times New Roman" w:hAnsi="Times New Roman" w:cs="Times New Roman"/>
          <w:sz w:val="24"/>
          <w:szCs w:val="24"/>
          <w:lang w:val="ru-RU"/>
        </w:rPr>
        <w:t>,</w:t>
      </w:r>
      <w:r w:rsidR="00B17A30"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 xml:space="preserve"> на сто</w:t>
      </w:r>
      <w:r w:rsidR="007576CD" w:rsidRPr="00E81A6E">
        <w:rPr>
          <w:rFonts w:ascii="Times New Roman" w:hAnsi="Times New Roman" w:cs="Times New Roman"/>
          <w:sz w:val="24"/>
          <w:szCs w:val="24"/>
          <w:lang w:val="ru-RU"/>
        </w:rPr>
        <w:t>, от които в държавна отговорност 100 на сто, в дофинансиране на държавни дейности от местни приходи 73,8 на сто</w:t>
      </w:r>
      <w:r w:rsidR="00F24F2B" w:rsidRPr="00E81A6E">
        <w:rPr>
          <w:rFonts w:ascii="Times New Roman" w:hAnsi="Times New Roman" w:cs="Times New Roman"/>
          <w:sz w:val="24"/>
          <w:szCs w:val="24"/>
          <w:lang w:val="ru-RU"/>
        </w:rPr>
        <w:t xml:space="preserve"> и </w:t>
      </w:r>
      <w:r w:rsidR="007576CD" w:rsidRPr="00E81A6E">
        <w:rPr>
          <w:rFonts w:ascii="Times New Roman" w:hAnsi="Times New Roman" w:cs="Times New Roman"/>
          <w:sz w:val="24"/>
          <w:szCs w:val="24"/>
          <w:lang w:val="ru-RU"/>
        </w:rPr>
        <w:t xml:space="preserve">в местни дейности за текущи разходи 87,4 на сто </w:t>
      </w:r>
      <w:r w:rsidRPr="00E81A6E">
        <w:rPr>
          <w:rFonts w:ascii="Times New Roman" w:hAnsi="Times New Roman" w:cs="Times New Roman"/>
          <w:sz w:val="24"/>
          <w:szCs w:val="24"/>
          <w:lang w:val="ru-RU"/>
        </w:rPr>
        <w:t>.</w:t>
      </w:r>
    </w:p>
    <w:p w14:paraId="5C45C464" w14:textId="77777777" w:rsidR="00C75D45" w:rsidRPr="00E81A6E" w:rsidRDefault="00C75D45" w:rsidP="00F55B06">
      <w:pPr>
        <w:spacing w:after="0" w:line="240" w:lineRule="auto"/>
        <w:ind w:firstLine="720"/>
        <w:contextualSpacing/>
        <w:jc w:val="both"/>
        <w:rPr>
          <w:rFonts w:ascii="Times New Roman" w:hAnsi="Times New Roman" w:cs="Times New Roman"/>
          <w:sz w:val="24"/>
          <w:szCs w:val="24"/>
          <w:lang w:val="ru-RU"/>
        </w:rPr>
      </w:pPr>
    </w:p>
    <w:p w14:paraId="7B8C2703" w14:textId="77777777" w:rsidR="00C75D45" w:rsidRPr="00E81A6E" w:rsidRDefault="00F83810" w:rsidP="00F55B06">
      <w:pPr>
        <w:pStyle w:val="Heading3"/>
        <w:spacing w:before="0"/>
        <w:ind w:firstLine="720"/>
        <w:contextualSpacing/>
        <w:rPr>
          <w:rFonts w:ascii="Times New Roman" w:hAnsi="Times New Roman" w:cs="Times New Roman"/>
          <w:color w:val="auto"/>
          <w:sz w:val="24"/>
          <w:szCs w:val="24"/>
          <w:lang w:val="ru-RU"/>
        </w:rPr>
      </w:pPr>
      <w:bookmarkStart w:id="25" w:name="_Toc30592755"/>
      <w:r w:rsidRPr="00E81A6E">
        <w:rPr>
          <w:rFonts w:ascii="Times New Roman" w:hAnsi="Times New Roman" w:cs="Times New Roman"/>
          <w:color w:val="auto"/>
          <w:sz w:val="24"/>
          <w:szCs w:val="24"/>
          <w:lang w:val="ru-RU"/>
        </w:rPr>
        <w:t>Бюджет 20</w:t>
      </w:r>
      <w:r w:rsidRPr="00E81A6E">
        <w:rPr>
          <w:rFonts w:ascii="Times New Roman" w:hAnsi="Times New Roman" w:cs="Times New Roman"/>
          <w:color w:val="auto"/>
          <w:sz w:val="24"/>
          <w:szCs w:val="24"/>
        </w:rPr>
        <w:t>20</w:t>
      </w:r>
      <w:r w:rsidRPr="00E81A6E">
        <w:rPr>
          <w:rFonts w:ascii="Times New Roman" w:hAnsi="Times New Roman" w:cs="Times New Roman"/>
          <w:color w:val="auto"/>
          <w:sz w:val="24"/>
          <w:szCs w:val="24"/>
          <w:lang w:val="ru-RU"/>
        </w:rPr>
        <w:t xml:space="preserve"> – Изпълнение на Инвестиционната програма</w:t>
      </w:r>
      <w:bookmarkEnd w:id="25"/>
    </w:p>
    <w:p w14:paraId="4AC19381" w14:textId="77777777" w:rsidR="00F83810" w:rsidRPr="00E81A6E" w:rsidRDefault="00F83810" w:rsidP="00F55B06">
      <w:pPr>
        <w:spacing w:after="0" w:line="240" w:lineRule="auto"/>
        <w:ind w:firstLine="720"/>
        <w:contextualSpacing/>
        <w:jc w:val="both"/>
        <w:rPr>
          <w:rFonts w:ascii="Times New Roman" w:eastAsia="MS Mincho" w:hAnsi="Times New Roman" w:cs="Times New Roman"/>
          <w:sz w:val="24"/>
          <w:szCs w:val="24"/>
          <w:lang w:val="bg-BG" w:eastAsia="bg-BG"/>
        </w:rPr>
      </w:pPr>
      <w:bookmarkStart w:id="26" w:name="_Toc312826188"/>
      <w:bookmarkStart w:id="27" w:name="_Toc409874543"/>
      <w:bookmarkStart w:id="28" w:name="_Toc499639771"/>
      <w:bookmarkStart w:id="29" w:name="_Toc500496067"/>
      <w:bookmarkStart w:id="30" w:name="_Toc500496413"/>
      <w:bookmarkStart w:id="31" w:name="_Toc503629614"/>
      <w:bookmarkStart w:id="32" w:name="_Toc61971767"/>
      <w:r w:rsidRPr="00E81A6E">
        <w:rPr>
          <w:rFonts w:ascii="Times New Roman" w:eastAsia="MS Mincho" w:hAnsi="Times New Roman" w:cs="Times New Roman"/>
          <w:sz w:val="24"/>
          <w:szCs w:val="24"/>
          <w:lang w:eastAsia="bg-BG"/>
        </w:rPr>
        <w:t>С Решение № 4</w:t>
      </w:r>
      <w:r w:rsidRPr="00E81A6E">
        <w:rPr>
          <w:rFonts w:ascii="Times New Roman" w:eastAsia="MS Mincho" w:hAnsi="Times New Roman" w:cs="Times New Roman"/>
          <w:sz w:val="24"/>
          <w:szCs w:val="24"/>
          <w:lang w:val="bg-BG" w:eastAsia="bg-BG"/>
        </w:rPr>
        <w:t xml:space="preserve">2 </w:t>
      </w:r>
      <w:r w:rsidRPr="00E81A6E">
        <w:rPr>
          <w:rFonts w:ascii="Times New Roman" w:eastAsia="MS Mincho" w:hAnsi="Times New Roman" w:cs="Times New Roman"/>
          <w:sz w:val="24"/>
          <w:szCs w:val="24"/>
          <w:lang w:eastAsia="bg-BG"/>
        </w:rPr>
        <w:t>от 06.02.2020</w:t>
      </w:r>
      <w:r w:rsidRPr="00E81A6E">
        <w:rPr>
          <w:rFonts w:ascii="Times New Roman" w:eastAsia="MS Mincho" w:hAnsi="Times New Roman" w:cs="Times New Roman"/>
          <w:sz w:val="24"/>
          <w:szCs w:val="24"/>
          <w:lang w:val="ru-RU" w:eastAsia="bg-BG"/>
        </w:rPr>
        <w:t>г.</w:t>
      </w:r>
      <w:r w:rsidRPr="00E81A6E">
        <w:rPr>
          <w:rFonts w:ascii="Times New Roman" w:eastAsia="MS Mincho" w:hAnsi="Times New Roman" w:cs="Times New Roman"/>
          <w:sz w:val="24"/>
          <w:szCs w:val="24"/>
          <w:lang w:val="bg-BG" w:eastAsia="bg-BG"/>
        </w:rPr>
        <w:t xml:space="preserve"> Столичният общински съвет утвърждава поименен списък на Програмата за капиталови разходи в размер </w:t>
      </w:r>
      <w:r w:rsidRPr="00E81A6E">
        <w:rPr>
          <w:rFonts w:ascii="Times New Roman" w:eastAsia="MS Mincho" w:hAnsi="Times New Roman" w:cs="Times New Roman"/>
          <w:sz w:val="24"/>
          <w:szCs w:val="24"/>
          <w:lang w:eastAsia="bg-BG"/>
        </w:rPr>
        <w:t>478</w:t>
      </w:r>
      <w:r w:rsidRPr="00E81A6E">
        <w:rPr>
          <w:rFonts w:ascii="Times New Roman" w:eastAsia="MS Mincho" w:hAnsi="Times New Roman" w:cs="Times New Roman"/>
          <w:sz w:val="24"/>
          <w:szCs w:val="24"/>
          <w:lang w:val="bg-BG" w:eastAsia="bg-BG"/>
        </w:rPr>
        <w:t>,</w:t>
      </w:r>
      <w:r w:rsidRPr="00E81A6E">
        <w:rPr>
          <w:rFonts w:ascii="Times New Roman" w:eastAsia="MS Mincho" w:hAnsi="Times New Roman" w:cs="Times New Roman"/>
          <w:sz w:val="24"/>
          <w:szCs w:val="24"/>
          <w:lang w:eastAsia="bg-BG"/>
        </w:rPr>
        <w:t>86</w:t>
      </w:r>
      <w:r w:rsidRPr="00E81A6E">
        <w:rPr>
          <w:rFonts w:ascii="Times New Roman" w:eastAsia="MS Mincho" w:hAnsi="Times New Roman" w:cs="Times New Roman"/>
          <w:sz w:val="24"/>
          <w:szCs w:val="24"/>
          <w:lang w:val="bg-BG" w:eastAsia="bg-BG"/>
        </w:rPr>
        <w:t xml:space="preserve"> млн.лв. в т.ч. финансирани със </w:t>
      </w:r>
      <w:r w:rsidRPr="00E81A6E">
        <w:rPr>
          <w:rFonts w:ascii="Times New Roman" w:eastAsia="MS Mincho" w:hAnsi="Times New Roman" w:cs="Times New Roman"/>
          <w:sz w:val="24"/>
          <w:szCs w:val="24"/>
          <w:lang w:val="bg-BG" w:eastAsia="bg-BG"/>
        </w:rPr>
        <w:lastRenderedPageBreak/>
        <w:t>средства от местни данъци и неданъчни приходи, целева субсидия</w:t>
      </w:r>
      <w:r w:rsidRPr="00E81A6E">
        <w:rPr>
          <w:rFonts w:ascii="Times New Roman" w:eastAsia="MS Mincho" w:hAnsi="Times New Roman" w:cs="Times New Roman"/>
          <w:sz w:val="24"/>
          <w:szCs w:val="24"/>
          <w:lang w:val="ru-RU" w:eastAsia="bg-BG"/>
        </w:rPr>
        <w:t xml:space="preserve"> </w:t>
      </w:r>
      <w:r w:rsidRPr="00E81A6E">
        <w:rPr>
          <w:rFonts w:ascii="Times New Roman" w:eastAsia="MS Mincho" w:hAnsi="Times New Roman" w:cs="Times New Roman"/>
          <w:sz w:val="24"/>
          <w:szCs w:val="24"/>
          <w:lang w:val="bg-BG" w:eastAsia="bg-BG"/>
        </w:rPr>
        <w:t xml:space="preserve">от </w:t>
      </w:r>
      <w:r w:rsidR="00F24F2B" w:rsidRPr="00E81A6E">
        <w:rPr>
          <w:rFonts w:ascii="Times New Roman" w:eastAsia="MS Mincho" w:hAnsi="Times New Roman" w:cs="Times New Roman"/>
          <w:sz w:val="24"/>
          <w:szCs w:val="24"/>
          <w:lang w:val="bg-BG" w:eastAsia="bg-BG"/>
        </w:rPr>
        <w:t>д</w:t>
      </w:r>
      <w:r w:rsidRPr="00E81A6E">
        <w:rPr>
          <w:rFonts w:ascii="Times New Roman" w:eastAsia="MS Mincho" w:hAnsi="Times New Roman" w:cs="Times New Roman"/>
          <w:sz w:val="24"/>
          <w:szCs w:val="24"/>
          <w:lang w:val="bg-BG" w:eastAsia="bg-BG"/>
        </w:rPr>
        <w:t>ържавния бюджет, банкови заеми и средства от приватизаци</w:t>
      </w:r>
      <w:r w:rsidR="00F24F2B" w:rsidRPr="00E81A6E">
        <w:rPr>
          <w:rFonts w:ascii="Times New Roman" w:eastAsia="MS Mincho" w:hAnsi="Times New Roman" w:cs="Times New Roman"/>
          <w:sz w:val="24"/>
          <w:szCs w:val="24"/>
          <w:lang w:val="bg-BG" w:eastAsia="bg-BG"/>
        </w:rPr>
        <w:t>я</w:t>
      </w:r>
      <w:r w:rsidRPr="00E81A6E">
        <w:rPr>
          <w:rFonts w:ascii="Times New Roman" w:eastAsia="MS Mincho" w:hAnsi="Times New Roman" w:cs="Times New Roman"/>
          <w:sz w:val="24"/>
          <w:szCs w:val="24"/>
          <w:lang w:val="bg-BG" w:eastAsia="bg-BG"/>
        </w:rPr>
        <w:t xml:space="preserve">, общо </w:t>
      </w:r>
      <w:r w:rsidRPr="00E81A6E">
        <w:rPr>
          <w:rFonts w:ascii="Times New Roman" w:eastAsia="MS Mincho" w:hAnsi="Times New Roman" w:cs="Times New Roman"/>
          <w:sz w:val="24"/>
          <w:szCs w:val="24"/>
          <w:lang w:eastAsia="bg-BG"/>
        </w:rPr>
        <w:t>218</w:t>
      </w:r>
      <w:r w:rsidRPr="00E81A6E">
        <w:rPr>
          <w:rFonts w:ascii="Times New Roman" w:eastAsia="MS Mincho" w:hAnsi="Times New Roman" w:cs="Times New Roman"/>
          <w:sz w:val="24"/>
          <w:szCs w:val="24"/>
          <w:lang w:val="bg-BG" w:eastAsia="bg-BG"/>
        </w:rPr>
        <w:t>,</w:t>
      </w:r>
      <w:r w:rsidRPr="00E81A6E">
        <w:rPr>
          <w:rFonts w:ascii="Times New Roman" w:eastAsia="MS Mincho" w:hAnsi="Times New Roman" w:cs="Times New Roman"/>
          <w:sz w:val="24"/>
          <w:szCs w:val="24"/>
          <w:lang w:eastAsia="bg-BG"/>
        </w:rPr>
        <w:t>19</w:t>
      </w:r>
      <w:r w:rsidRPr="00E81A6E">
        <w:rPr>
          <w:rFonts w:ascii="Times New Roman" w:eastAsia="MS Mincho" w:hAnsi="Times New Roman" w:cs="Times New Roman"/>
          <w:sz w:val="24"/>
          <w:szCs w:val="24"/>
          <w:lang w:val="bg-BG" w:eastAsia="bg-BG"/>
        </w:rPr>
        <w:t xml:space="preserve"> млн.лв. и </w:t>
      </w:r>
      <w:r w:rsidRPr="00E81A6E">
        <w:rPr>
          <w:rFonts w:ascii="Times New Roman" w:eastAsia="MS Mincho" w:hAnsi="Times New Roman" w:cs="Times New Roman"/>
          <w:sz w:val="24"/>
          <w:szCs w:val="24"/>
          <w:lang w:eastAsia="bg-BG"/>
        </w:rPr>
        <w:t>260</w:t>
      </w:r>
      <w:r w:rsidRPr="00E81A6E">
        <w:rPr>
          <w:rFonts w:ascii="Times New Roman" w:eastAsia="MS Mincho" w:hAnsi="Times New Roman" w:cs="Times New Roman"/>
          <w:sz w:val="24"/>
          <w:szCs w:val="24"/>
          <w:lang w:val="bg-BG" w:eastAsia="bg-BG"/>
        </w:rPr>
        <w:t>,</w:t>
      </w:r>
      <w:r w:rsidRPr="00E81A6E">
        <w:rPr>
          <w:rFonts w:ascii="Times New Roman" w:eastAsia="MS Mincho" w:hAnsi="Times New Roman" w:cs="Times New Roman"/>
          <w:sz w:val="24"/>
          <w:szCs w:val="24"/>
          <w:lang w:eastAsia="bg-BG"/>
        </w:rPr>
        <w:t>6</w:t>
      </w:r>
      <w:r w:rsidRPr="00E81A6E">
        <w:rPr>
          <w:rFonts w:ascii="Times New Roman" w:eastAsia="MS Mincho" w:hAnsi="Times New Roman" w:cs="Times New Roman"/>
          <w:sz w:val="24"/>
          <w:szCs w:val="24"/>
          <w:lang w:val="bg-BG" w:eastAsia="bg-BG"/>
        </w:rPr>
        <w:t>7 млн.лв. средства по оперативни програми.</w:t>
      </w:r>
    </w:p>
    <w:p w14:paraId="7F44879D" w14:textId="77777777" w:rsidR="00F83810" w:rsidRPr="00E81A6E" w:rsidRDefault="00F83810" w:rsidP="00F55B06">
      <w:pPr>
        <w:spacing w:after="0" w:line="240" w:lineRule="auto"/>
        <w:ind w:firstLine="720"/>
        <w:contextualSpacing/>
        <w:jc w:val="both"/>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След  две актуализации на бюджета за 2020г. /Решение №149 от 30.04.2020г. и Решение №494 от 22.10.2020г. на СОС/, с писма за промяна на бюджетните взаимоотношения на Общината с централния бюджет и със заповеди за вътрешни преразпределения на бюджетни средства към райони и поделения, инвестиционната програма към края на годината бе увеличена със 73,49 млн.лева.</w:t>
      </w:r>
    </w:p>
    <w:p w14:paraId="03138461" w14:textId="4EB22389" w:rsidR="00F83810" w:rsidRPr="00E81A6E" w:rsidRDefault="00F83810" w:rsidP="00F55B06">
      <w:pPr>
        <w:spacing w:after="0" w:line="240" w:lineRule="auto"/>
        <w:ind w:firstLine="720"/>
        <w:contextualSpacing/>
        <w:jc w:val="both"/>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 xml:space="preserve">Към 31.12.2020г. </w:t>
      </w:r>
      <w:r w:rsidRPr="00E81A6E">
        <w:rPr>
          <w:rFonts w:ascii="Times New Roman" w:eastAsia="MS Mincho" w:hAnsi="Times New Roman" w:cs="Times New Roman"/>
          <w:i/>
          <w:sz w:val="24"/>
          <w:szCs w:val="24"/>
          <w:lang w:val="bg-BG" w:eastAsia="bg-BG"/>
        </w:rPr>
        <w:t>по предварителни данни</w:t>
      </w:r>
      <w:r w:rsidRPr="00E81A6E">
        <w:rPr>
          <w:rFonts w:ascii="Times New Roman" w:eastAsia="MS Mincho" w:hAnsi="Times New Roman" w:cs="Times New Roman"/>
          <w:sz w:val="24"/>
          <w:szCs w:val="24"/>
          <w:lang w:val="bg-BG" w:eastAsia="bg-BG"/>
        </w:rPr>
        <w:t xml:space="preserve"> разплатените строително-монтажни работи, основни ремонти, проектиране, доставка на машини, съоръжения и оборудване и отчуждаване на имоти възлизат на 161,63 </w:t>
      </w:r>
      <w:r w:rsidRPr="00E81A6E">
        <w:rPr>
          <w:rFonts w:ascii="Times New Roman" w:hAnsi="Times New Roman" w:cs="Times New Roman"/>
          <w:bCs/>
          <w:sz w:val="24"/>
          <w:szCs w:val="24"/>
          <w:lang w:val="bg-BG" w:eastAsia="en-US"/>
        </w:rPr>
        <w:t>млн.лв., без разплатеното по</w:t>
      </w:r>
      <w:r w:rsidRPr="00E81A6E">
        <w:rPr>
          <w:rFonts w:ascii="Times New Roman" w:eastAsia="MS Mincho" w:hAnsi="Times New Roman" w:cs="Times New Roman"/>
          <w:sz w:val="24"/>
          <w:szCs w:val="24"/>
          <w:lang w:val="bg-BG" w:eastAsia="bg-BG"/>
        </w:rPr>
        <w:t xml:space="preserve"> оперативни програми</w:t>
      </w:r>
      <w:r w:rsidR="00D73469">
        <w:rPr>
          <w:rFonts w:ascii="Times New Roman" w:eastAsia="MS Mincho" w:hAnsi="Times New Roman" w:cs="Times New Roman"/>
          <w:sz w:val="24"/>
          <w:szCs w:val="24"/>
          <w:lang w:val="bg-BG" w:eastAsia="bg-BG"/>
        </w:rPr>
        <w:t>.</w:t>
      </w:r>
    </w:p>
    <w:p w14:paraId="1ECA37E9" w14:textId="77777777" w:rsidR="00F83810" w:rsidRPr="00E81A6E" w:rsidRDefault="00F83810" w:rsidP="00F55B06">
      <w:pPr>
        <w:spacing w:after="0" w:line="240" w:lineRule="auto"/>
        <w:ind w:firstLine="720"/>
        <w:contextualSpacing/>
        <w:jc w:val="both"/>
        <w:rPr>
          <w:rFonts w:ascii="Times New Roman" w:hAnsi="Times New Roman" w:cs="Times New Roman"/>
          <w:sz w:val="24"/>
          <w:szCs w:val="24"/>
          <w:lang w:val="bg-BG" w:eastAsia="sr-Cyrl-CS"/>
        </w:rPr>
      </w:pPr>
      <w:r w:rsidRPr="00E81A6E">
        <w:rPr>
          <w:rFonts w:ascii="Times New Roman" w:eastAsia="MS Mincho" w:hAnsi="Times New Roman" w:cs="Times New Roman"/>
          <w:sz w:val="24"/>
          <w:szCs w:val="24"/>
          <w:lang w:val="bg-BG" w:eastAsia="bg-BG"/>
        </w:rPr>
        <w:t>През второто полугодие на 2020г., с Постановления и Решение на Министерски съвет бяха одобрени допълнителни трансфери по бюджета на Столична община за целеви разходи -</w:t>
      </w:r>
      <w:r w:rsidRPr="00E81A6E">
        <w:rPr>
          <w:rFonts w:ascii="Times New Roman" w:hAnsi="Times New Roman" w:cs="Times New Roman"/>
          <w:sz w:val="24"/>
          <w:szCs w:val="24"/>
        </w:rPr>
        <w:t xml:space="preserve"> </w:t>
      </w:r>
      <w:r w:rsidRPr="00E81A6E">
        <w:rPr>
          <w:rFonts w:ascii="Times New Roman" w:eastAsia="MS Mincho" w:hAnsi="Times New Roman" w:cs="Times New Roman"/>
          <w:sz w:val="24"/>
          <w:szCs w:val="24"/>
          <w:lang w:val="bg-BG" w:eastAsia="bg-BG"/>
        </w:rPr>
        <w:t xml:space="preserve">за изграждане, реконструкция, основен ремонт, обзавеждане и оборудване на детски градини и ясли; за изграждане на реверсивна връзка между довеждащите системи на „Бели Искър“ и „Искър“; за изграждане на улици в НПЗ Изток, м.Къро. В тази връзка, с оглед по-добрия анализ на реалното изпълнение на инвестиционната програма следва да приспаднем от плана неусвоените средства по горецитираните субсидии /70,4 млн.лв./, както и </w:t>
      </w:r>
      <w:r w:rsidR="004C427F" w:rsidRPr="00E81A6E">
        <w:rPr>
          <w:rFonts w:ascii="Times New Roman" w:eastAsia="MS Mincho" w:hAnsi="Times New Roman" w:cs="Times New Roman"/>
          <w:sz w:val="24"/>
          <w:szCs w:val="24"/>
          <w:lang w:val="bg-BG" w:eastAsia="bg-BG"/>
        </w:rPr>
        <w:t xml:space="preserve">остатъка с източник </w:t>
      </w:r>
      <w:r w:rsidRPr="00E81A6E">
        <w:rPr>
          <w:rFonts w:ascii="Times New Roman" w:eastAsia="MS Mincho" w:hAnsi="Times New Roman" w:cs="Times New Roman"/>
          <w:sz w:val="24"/>
          <w:szCs w:val="24"/>
          <w:lang w:val="bg-BG" w:eastAsia="bg-BG"/>
        </w:rPr>
        <w:t>СОПФ</w:t>
      </w:r>
      <w:r w:rsidR="004C427F" w:rsidRPr="00E81A6E">
        <w:rPr>
          <w:rFonts w:ascii="Times New Roman" w:eastAsia="MS Mincho" w:hAnsi="Times New Roman" w:cs="Times New Roman"/>
          <w:sz w:val="24"/>
          <w:szCs w:val="24"/>
          <w:lang w:val="bg-BG" w:eastAsia="bg-BG"/>
        </w:rPr>
        <w:t xml:space="preserve"> от обекти, одобрени през 2020г.</w:t>
      </w:r>
      <w:r w:rsidRPr="00E81A6E">
        <w:rPr>
          <w:rFonts w:ascii="Times New Roman" w:eastAsia="MS Mincho" w:hAnsi="Times New Roman" w:cs="Times New Roman"/>
          <w:sz w:val="24"/>
          <w:szCs w:val="24"/>
          <w:lang w:val="bg-BG" w:eastAsia="bg-BG"/>
        </w:rPr>
        <w:t xml:space="preserve"> /5 млн.</w:t>
      </w:r>
      <w:r w:rsidRPr="00E81A6E">
        <w:rPr>
          <w:rFonts w:ascii="Times New Roman" w:hAnsi="Times New Roman" w:cs="Times New Roman"/>
          <w:sz w:val="24"/>
          <w:szCs w:val="24"/>
          <w:lang w:val="bg-BG" w:eastAsia="sr-Cyrl-CS"/>
        </w:rPr>
        <w:t xml:space="preserve"> лв./</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eastAsia="sr-Cyrl-CS"/>
        </w:rPr>
        <w:t xml:space="preserve"> </w:t>
      </w:r>
      <w:r w:rsidR="00F24F2B" w:rsidRPr="00E81A6E">
        <w:rPr>
          <w:rFonts w:ascii="Times New Roman" w:hAnsi="Times New Roman" w:cs="Times New Roman"/>
          <w:sz w:val="24"/>
          <w:szCs w:val="24"/>
          <w:lang w:val="bg-BG" w:eastAsia="sr-Cyrl-CS"/>
        </w:rPr>
        <w:t xml:space="preserve"> изпълнението е </w:t>
      </w:r>
      <w:r w:rsidRPr="00E81A6E">
        <w:rPr>
          <w:rFonts w:ascii="Times New Roman" w:hAnsi="Times New Roman" w:cs="Times New Roman"/>
          <w:sz w:val="24"/>
          <w:szCs w:val="24"/>
          <w:lang w:val="bg-BG" w:eastAsia="sr-Cyrl-CS"/>
        </w:rPr>
        <w:t>74,77 на сто.</w:t>
      </w:r>
    </w:p>
    <w:p w14:paraId="4ECFA1BD" w14:textId="77777777" w:rsidR="00F83810" w:rsidRPr="00E81A6E" w:rsidRDefault="00F83810" w:rsidP="00F55B06">
      <w:pPr>
        <w:spacing w:after="0" w:line="240" w:lineRule="auto"/>
        <w:ind w:firstLine="720"/>
        <w:contextualSpacing/>
        <w:jc w:val="both"/>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 xml:space="preserve">За същия период за проекти, финансирани със средства от Оперативни програми са разплатени 118,24 млн.лв., разпределени както следва: </w:t>
      </w:r>
    </w:p>
    <w:p w14:paraId="0E7CB411" w14:textId="77777777" w:rsidR="00F83810" w:rsidRPr="00E81A6E" w:rsidRDefault="00F83810" w:rsidP="00350B12">
      <w:pPr>
        <w:numPr>
          <w:ilvl w:val="0"/>
          <w:numId w:val="4"/>
        </w:numPr>
        <w:spacing w:after="0" w:line="240" w:lineRule="auto"/>
        <w:ind w:left="0" w:firstLine="720"/>
        <w:contextualSpacing/>
        <w:jc w:val="both"/>
        <w:rPr>
          <w:rFonts w:ascii="Times New Roman" w:eastAsia="MS Mincho" w:hAnsi="Times New Roman" w:cs="Times New Roman"/>
          <w:bCs/>
          <w:sz w:val="24"/>
          <w:szCs w:val="24"/>
          <w:lang w:val="bg-BG" w:eastAsia="bg-BG"/>
        </w:rPr>
      </w:pPr>
      <w:r w:rsidRPr="00E81A6E">
        <w:rPr>
          <w:rFonts w:ascii="Times New Roman" w:eastAsia="MS Mincho" w:hAnsi="Times New Roman" w:cs="Times New Roman"/>
          <w:bCs/>
          <w:sz w:val="24"/>
          <w:szCs w:val="24"/>
          <w:lang w:val="bg-BG" w:eastAsia="bg-BG"/>
        </w:rPr>
        <w:t xml:space="preserve">ОП “Транспорт и транспортна инфраструктура” - 36,78  млн.лв.; </w:t>
      </w:r>
    </w:p>
    <w:p w14:paraId="6114B2EF" w14:textId="77777777" w:rsidR="00F83810" w:rsidRPr="00E81A6E" w:rsidRDefault="00F83810" w:rsidP="00350B12">
      <w:pPr>
        <w:numPr>
          <w:ilvl w:val="0"/>
          <w:numId w:val="4"/>
        </w:numPr>
        <w:spacing w:after="0" w:line="240" w:lineRule="auto"/>
        <w:ind w:left="0" w:firstLine="720"/>
        <w:contextualSpacing/>
        <w:jc w:val="both"/>
        <w:rPr>
          <w:rFonts w:ascii="Times New Roman" w:eastAsia="MS Mincho" w:hAnsi="Times New Roman" w:cs="Times New Roman"/>
          <w:bCs/>
          <w:sz w:val="24"/>
          <w:szCs w:val="24"/>
          <w:lang w:val="bg-BG" w:eastAsia="bg-BG"/>
        </w:rPr>
      </w:pPr>
      <w:r w:rsidRPr="00E81A6E">
        <w:rPr>
          <w:rFonts w:ascii="Times New Roman" w:eastAsia="MS Mincho" w:hAnsi="Times New Roman" w:cs="Times New Roman"/>
          <w:bCs/>
          <w:sz w:val="24"/>
          <w:szCs w:val="24"/>
          <w:lang w:val="bg-BG" w:eastAsia="bg-BG"/>
        </w:rPr>
        <w:t xml:space="preserve">ОП “Региони в растеж” - 58,1 млн.лв.; </w:t>
      </w:r>
    </w:p>
    <w:p w14:paraId="722174F4" w14:textId="77777777" w:rsidR="00F83810" w:rsidRPr="00E81A6E" w:rsidRDefault="00F83810" w:rsidP="00350B12">
      <w:pPr>
        <w:numPr>
          <w:ilvl w:val="0"/>
          <w:numId w:val="4"/>
        </w:numPr>
        <w:spacing w:after="0" w:line="240" w:lineRule="auto"/>
        <w:ind w:left="0" w:firstLine="720"/>
        <w:contextualSpacing/>
        <w:jc w:val="both"/>
        <w:rPr>
          <w:rFonts w:ascii="Times New Roman" w:eastAsia="MS Mincho" w:hAnsi="Times New Roman" w:cs="Times New Roman"/>
          <w:bCs/>
          <w:sz w:val="24"/>
          <w:szCs w:val="24"/>
          <w:lang w:val="bg-BG" w:eastAsia="bg-BG"/>
        </w:rPr>
      </w:pPr>
      <w:r w:rsidRPr="00E81A6E">
        <w:rPr>
          <w:rFonts w:ascii="Times New Roman" w:eastAsia="MS Mincho" w:hAnsi="Times New Roman" w:cs="Times New Roman"/>
          <w:bCs/>
          <w:sz w:val="24"/>
          <w:szCs w:val="24"/>
          <w:lang w:val="bg-BG" w:eastAsia="bg-BG"/>
        </w:rPr>
        <w:t xml:space="preserve">ОП “Околна среда” - 22,36 млн.лв.; </w:t>
      </w:r>
    </w:p>
    <w:p w14:paraId="0890B7B2" w14:textId="77777777" w:rsidR="00F83810" w:rsidRPr="00E81A6E" w:rsidRDefault="00F83810" w:rsidP="00350B12">
      <w:pPr>
        <w:numPr>
          <w:ilvl w:val="0"/>
          <w:numId w:val="4"/>
        </w:numPr>
        <w:spacing w:after="0" w:line="240" w:lineRule="auto"/>
        <w:ind w:left="0" w:firstLine="720"/>
        <w:contextualSpacing/>
        <w:jc w:val="both"/>
        <w:rPr>
          <w:rFonts w:ascii="Times New Roman" w:eastAsia="MS Mincho" w:hAnsi="Times New Roman" w:cs="Times New Roman"/>
          <w:bCs/>
          <w:sz w:val="24"/>
          <w:szCs w:val="24"/>
          <w:lang w:val="bg-BG" w:eastAsia="bg-BG"/>
        </w:rPr>
      </w:pPr>
      <w:r w:rsidRPr="00E81A6E">
        <w:rPr>
          <w:rFonts w:ascii="Times New Roman" w:eastAsia="MS Mincho" w:hAnsi="Times New Roman" w:cs="Times New Roman"/>
          <w:bCs/>
          <w:sz w:val="24"/>
          <w:szCs w:val="24"/>
          <w:lang w:val="bg-BG" w:eastAsia="bg-BG"/>
        </w:rPr>
        <w:t>Други - 1 млн.лв.</w:t>
      </w:r>
    </w:p>
    <w:p w14:paraId="32E3CF4D" w14:textId="77777777" w:rsidR="00882664" w:rsidRDefault="00882664" w:rsidP="00F55B06">
      <w:pPr>
        <w:spacing w:after="0" w:line="240" w:lineRule="auto"/>
        <w:ind w:firstLine="720"/>
        <w:contextualSpacing/>
        <w:rPr>
          <w:rFonts w:ascii="Times New Roman" w:eastAsia="Malgun Gothic" w:hAnsi="Times New Roman" w:cs="Times New Roman"/>
          <w:sz w:val="24"/>
          <w:szCs w:val="24"/>
          <w:lang w:val="bg-BG" w:eastAsia="ko-KR"/>
        </w:rPr>
      </w:pPr>
    </w:p>
    <w:p w14:paraId="68949A2E" w14:textId="77777777" w:rsidR="00882664" w:rsidRDefault="00882664" w:rsidP="00F55B06">
      <w:pPr>
        <w:spacing w:after="0" w:line="240" w:lineRule="auto"/>
        <w:ind w:firstLine="720"/>
        <w:contextualSpacing/>
        <w:rPr>
          <w:rFonts w:ascii="Times New Roman" w:eastAsia="Malgun Gothic" w:hAnsi="Times New Roman" w:cs="Times New Roman"/>
          <w:sz w:val="24"/>
          <w:szCs w:val="24"/>
          <w:lang w:val="bg-BG" w:eastAsia="ko-KR"/>
        </w:rPr>
      </w:pPr>
    </w:p>
    <w:p w14:paraId="27EBD56B" w14:textId="77777777" w:rsidR="00F83810" w:rsidRDefault="00F83810" w:rsidP="00F55B06">
      <w:pPr>
        <w:spacing w:after="0" w:line="240" w:lineRule="auto"/>
        <w:ind w:firstLine="720"/>
        <w:contextualSpacing/>
        <w:rPr>
          <w:rFonts w:ascii="Times New Roman" w:eastAsia="Malgun Gothic" w:hAnsi="Times New Roman" w:cs="Times New Roman"/>
          <w:sz w:val="24"/>
          <w:szCs w:val="24"/>
          <w:lang w:val="bg-BG" w:eastAsia="ko-KR"/>
        </w:rPr>
      </w:pPr>
      <w:r w:rsidRPr="00E81A6E">
        <w:rPr>
          <w:rFonts w:ascii="Times New Roman" w:eastAsia="Malgun Gothic" w:hAnsi="Times New Roman" w:cs="Times New Roman"/>
          <w:sz w:val="24"/>
          <w:szCs w:val="24"/>
          <w:lang w:val="bg-BG" w:eastAsia="ko-KR"/>
        </w:rPr>
        <w:t xml:space="preserve">Структура на </w:t>
      </w:r>
      <w:r w:rsidRPr="00E81A6E">
        <w:rPr>
          <w:rFonts w:ascii="Times New Roman" w:eastAsia="Malgun Gothic" w:hAnsi="Times New Roman" w:cs="Times New Roman"/>
          <w:i/>
          <w:sz w:val="24"/>
          <w:szCs w:val="24"/>
          <w:lang w:val="bg-BG" w:eastAsia="ko-KR"/>
        </w:rPr>
        <w:t>планираните</w:t>
      </w:r>
      <w:r w:rsidRPr="00E81A6E">
        <w:rPr>
          <w:rFonts w:ascii="Times New Roman" w:eastAsia="Malgun Gothic" w:hAnsi="Times New Roman" w:cs="Times New Roman"/>
          <w:sz w:val="24"/>
          <w:szCs w:val="24"/>
          <w:lang w:val="bg-BG" w:eastAsia="ko-KR"/>
        </w:rPr>
        <w:t xml:space="preserve"> капиталовите разходи към 31.12.2020г. </w:t>
      </w:r>
    </w:p>
    <w:p w14:paraId="1D672345" w14:textId="77777777" w:rsidR="00882664" w:rsidRPr="00E81A6E" w:rsidRDefault="00882664" w:rsidP="00F55B06">
      <w:pPr>
        <w:spacing w:after="0" w:line="240" w:lineRule="auto"/>
        <w:ind w:firstLine="720"/>
        <w:contextualSpacing/>
        <w:rPr>
          <w:rFonts w:ascii="Times New Roman" w:eastAsia="Malgun Gothic" w:hAnsi="Times New Roman" w:cs="Times New Roman"/>
          <w:sz w:val="24"/>
          <w:szCs w:val="24"/>
          <w:lang w:val="bg-BG" w:eastAsia="ko-KR"/>
        </w:rPr>
      </w:pPr>
    </w:p>
    <w:tbl>
      <w:tblPr>
        <w:tblW w:w="338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3682"/>
        <w:gridCol w:w="2834"/>
      </w:tblGrid>
      <w:tr w:rsidR="00882664" w:rsidRPr="00E81A6E" w14:paraId="5906165B" w14:textId="77777777" w:rsidTr="00882664">
        <w:trPr>
          <w:trHeight w:val="50"/>
        </w:trPr>
        <w:tc>
          <w:tcPr>
            <w:tcW w:w="2825" w:type="pct"/>
            <w:tcBorders>
              <w:bottom w:val="single" w:sz="12" w:space="0" w:color="666666"/>
            </w:tcBorders>
          </w:tcPr>
          <w:p w14:paraId="18C0C6CA" w14:textId="77777777" w:rsidR="00F83810" w:rsidRPr="00E81A6E" w:rsidRDefault="00F83810" w:rsidP="00F55B06">
            <w:pPr>
              <w:spacing w:after="0" w:line="240" w:lineRule="auto"/>
              <w:ind w:firstLine="720"/>
              <w:contextualSpacing/>
              <w:rPr>
                <w:rFonts w:ascii="Times New Roman" w:eastAsia="MS Mincho" w:hAnsi="Times New Roman" w:cs="Times New Roman"/>
                <w:b/>
                <w:bCs/>
                <w:i/>
                <w:iCs/>
                <w:sz w:val="24"/>
                <w:szCs w:val="24"/>
                <w:lang w:val="bg-BG"/>
              </w:rPr>
            </w:pPr>
            <w:r w:rsidRPr="00E81A6E">
              <w:rPr>
                <w:rFonts w:ascii="Times New Roman" w:eastAsia="MS Mincho" w:hAnsi="Times New Roman" w:cs="Times New Roman"/>
                <w:b/>
                <w:bCs/>
                <w:i/>
                <w:iCs/>
                <w:sz w:val="24"/>
                <w:szCs w:val="24"/>
                <w:lang w:val="bg-BG"/>
              </w:rPr>
              <w:t>Вид разход</w:t>
            </w:r>
          </w:p>
        </w:tc>
        <w:tc>
          <w:tcPr>
            <w:tcW w:w="2175" w:type="pct"/>
            <w:tcBorders>
              <w:bottom w:val="single" w:sz="12" w:space="0" w:color="666666"/>
            </w:tcBorders>
            <w:noWrap/>
          </w:tcPr>
          <w:p w14:paraId="3696FA1E" w14:textId="77777777" w:rsidR="00F83810" w:rsidRPr="00E81A6E" w:rsidRDefault="00F83810" w:rsidP="00882664">
            <w:pPr>
              <w:spacing w:after="0" w:line="240" w:lineRule="auto"/>
              <w:contextualSpacing/>
              <w:jc w:val="center"/>
              <w:rPr>
                <w:rFonts w:ascii="Times New Roman" w:eastAsia="MS Mincho" w:hAnsi="Times New Roman" w:cs="Times New Roman"/>
                <w:b/>
                <w:bCs/>
                <w:i/>
                <w:iCs/>
                <w:sz w:val="24"/>
                <w:szCs w:val="24"/>
                <w:lang w:val="bg-BG" w:eastAsia="bg-BG"/>
              </w:rPr>
            </w:pPr>
            <w:r w:rsidRPr="00E81A6E">
              <w:rPr>
                <w:rFonts w:ascii="Times New Roman" w:eastAsia="Malgun Gothic" w:hAnsi="Times New Roman" w:cs="Times New Roman"/>
                <w:b/>
                <w:bCs/>
                <w:i/>
                <w:iCs/>
                <w:sz w:val="24"/>
                <w:szCs w:val="24"/>
                <w:lang w:val="bg-BG" w:eastAsia="ko-KR"/>
              </w:rPr>
              <w:t>Млн.</w:t>
            </w:r>
            <w:r w:rsidRPr="00E81A6E">
              <w:rPr>
                <w:rFonts w:ascii="Times New Roman" w:eastAsia="Malgun Gothic" w:hAnsi="Times New Roman" w:cs="Times New Roman"/>
                <w:b/>
                <w:bCs/>
                <w:iCs/>
                <w:sz w:val="24"/>
                <w:szCs w:val="24"/>
                <w:lang w:val="bg-BG" w:eastAsia="ko-KR"/>
              </w:rPr>
              <w:t xml:space="preserve"> млн.лв.</w:t>
            </w:r>
            <w:r w:rsidRPr="00E81A6E">
              <w:rPr>
                <w:rFonts w:ascii="Times New Roman" w:eastAsia="Malgun Gothic" w:hAnsi="Times New Roman" w:cs="Times New Roman"/>
                <w:b/>
                <w:bCs/>
                <w:i/>
                <w:iCs/>
                <w:sz w:val="24"/>
                <w:szCs w:val="24"/>
                <w:lang w:val="bg-BG" w:eastAsia="ko-KR"/>
              </w:rPr>
              <w:t xml:space="preserve"> лв</w:t>
            </w:r>
          </w:p>
        </w:tc>
      </w:tr>
      <w:tr w:rsidR="00882664" w:rsidRPr="00E81A6E" w14:paraId="2CCA69A2" w14:textId="77777777" w:rsidTr="00882664">
        <w:trPr>
          <w:trHeight w:val="252"/>
        </w:trPr>
        <w:tc>
          <w:tcPr>
            <w:tcW w:w="2825" w:type="pct"/>
          </w:tcPr>
          <w:p w14:paraId="59948982" w14:textId="77777777" w:rsidR="00F83810" w:rsidRPr="00E81A6E" w:rsidRDefault="00F83810" w:rsidP="00882664">
            <w:pPr>
              <w:spacing w:after="0" w:line="240" w:lineRule="auto"/>
              <w:contextualSpacing/>
              <w:rPr>
                <w:rFonts w:ascii="Times New Roman" w:eastAsia="MS Mincho" w:hAnsi="Times New Roman" w:cs="Times New Roman"/>
                <w:bCs/>
                <w:sz w:val="24"/>
                <w:szCs w:val="24"/>
                <w:lang w:val="bg-BG"/>
              </w:rPr>
            </w:pPr>
            <w:r w:rsidRPr="00E81A6E">
              <w:rPr>
                <w:rFonts w:ascii="Times New Roman" w:eastAsia="MS Mincho" w:hAnsi="Times New Roman" w:cs="Times New Roman"/>
                <w:bCs/>
                <w:sz w:val="24"/>
                <w:szCs w:val="24"/>
                <w:lang w:val="bg-BG"/>
              </w:rPr>
              <w:t>Придобиване ДМА</w:t>
            </w:r>
          </w:p>
          <w:p w14:paraId="326C2202" w14:textId="77777777" w:rsidR="00F83810" w:rsidRPr="00E81A6E" w:rsidRDefault="00F83810" w:rsidP="00F55B06">
            <w:pPr>
              <w:spacing w:after="0" w:line="240" w:lineRule="auto"/>
              <w:ind w:firstLine="720"/>
              <w:contextualSpacing/>
              <w:rPr>
                <w:rFonts w:ascii="Times New Roman" w:eastAsia="MS Mincho" w:hAnsi="Times New Roman" w:cs="Times New Roman"/>
                <w:bCs/>
                <w:sz w:val="24"/>
                <w:szCs w:val="24"/>
                <w:lang w:val="bg-BG"/>
              </w:rPr>
            </w:pPr>
          </w:p>
        </w:tc>
        <w:tc>
          <w:tcPr>
            <w:tcW w:w="2175" w:type="pct"/>
            <w:noWrap/>
          </w:tcPr>
          <w:p w14:paraId="79618223" w14:textId="77777777" w:rsidR="00F83810" w:rsidRPr="00E81A6E" w:rsidRDefault="00F83810" w:rsidP="00882664">
            <w:pPr>
              <w:spacing w:after="0" w:line="240" w:lineRule="auto"/>
              <w:contextualSpacing/>
              <w:jc w:val="center"/>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233,23</w:t>
            </w:r>
          </w:p>
        </w:tc>
      </w:tr>
      <w:tr w:rsidR="00882664" w:rsidRPr="00E81A6E" w14:paraId="7E4E0438" w14:textId="77777777" w:rsidTr="00882664">
        <w:trPr>
          <w:trHeight w:val="244"/>
        </w:trPr>
        <w:tc>
          <w:tcPr>
            <w:tcW w:w="2825" w:type="pct"/>
          </w:tcPr>
          <w:p w14:paraId="6C433B7F" w14:textId="77777777" w:rsidR="00F83810" w:rsidRPr="00E81A6E" w:rsidRDefault="00F83810" w:rsidP="00882664">
            <w:pPr>
              <w:spacing w:after="0" w:line="240" w:lineRule="auto"/>
              <w:contextualSpacing/>
              <w:rPr>
                <w:rFonts w:ascii="Times New Roman" w:eastAsia="MS Mincho" w:hAnsi="Times New Roman" w:cs="Times New Roman"/>
                <w:bCs/>
                <w:sz w:val="24"/>
                <w:szCs w:val="24"/>
                <w:lang w:val="bg-BG"/>
              </w:rPr>
            </w:pPr>
            <w:r w:rsidRPr="00E81A6E">
              <w:rPr>
                <w:rFonts w:ascii="Times New Roman" w:eastAsia="MS Mincho" w:hAnsi="Times New Roman" w:cs="Times New Roman"/>
                <w:bCs/>
                <w:sz w:val="24"/>
                <w:szCs w:val="24"/>
                <w:lang w:val="bg-BG"/>
              </w:rPr>
              <w:t>Основен ремонт</w:t>
            </w:r>
          </w:p>
          <w:p w14:paraId="6A4E7A8F" w14:textId="77777777" w:rsidR="00F83810" w:rsidRPr="00E81A6E" w:rsidRDefault="00F83810" w:rsidP="00F55B06">
            <w:pPr>
              <w:spacing w:after="0" w:line="240" w:lineRule="auto"/>
              <w:ind w:firstLine="720"/>
              <w:contextualSpacing/>
              <w:rPr>
                <w:rFonts w:ascii="Times New Roman" w:eastAsia="MS Mincho" w:hAnsi="Times New Roman" w:cs="Times New Roman"/>
                <w:bCs/>
                <w:sz w:val="24"/>
                <w:szCs w:val="24"/>
                <w:lang w:val="bg-BG"/>
              </w:rPr>
            </w:pPr>
          </w:p>
        </w:tc>
        <w:tc>
          <w:tcPr>
            <w:tcW w:w="2175" w:type="pct"/>
            <w:noWrap/>
          </w:tcPr>
          <w:p w14:paraId="5FC0B0DD" w14:textId="77777777" w:rsidR="00F83810" w:rsidRPr="00E81A6E" w:rsidRDefault="00F83810" w:rsidP="00882664">
            <w:pPr>
              <w:spacing w:after="0" w:line="240" w:lineRule="auto"/>
              <w:contextualSpacing/>
              <w:jc w:val="center"/>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155,36</w:t>
            </w:r>
          </w:p>
        </w:tc>
      </w:tr>
      <w:tr w:rsidR="00882664" w:rsidRPr="00E81A6E" w14:paraId="78CBACBF" w14:textId="77777777" w:rsidTr="00882664">
        <w:trPr>
          <w:trHeight w:val="244"/>
        </w:trPr>
        <w:tc>
          <w:tcPr>
            <w:tcW w:w="2825" w:type="pct"/>
          </w:tcPr>
          <w:p w14:paraId="1204D4CE" w14:textId="77777777" w:rsidR="00F83810" w:rsidRPr="00E81A6E" w:rsidRDefault="00F83810" w:rsidP="00882664">
            <w:pPr>
              <w:spacing w:after="0" w:line="240" w:lineRule="auto"/>
              <w:contextualSpacing/>
              <w:rPr>
                <w:rFonts w:ascii="Times New Roman" w:eastAsia="MS Mincho" w:hAnsi="Times New Roman" w:cs="Times New Roman"/>
                <w:bCs/>
                <w:sz w:val="24"/>
                <w:szCs w:val="24"/>
                <w:lang w:val="bg-BG"/>
              </w:rPr>
            </w:pPr>
            <w:r w:rsidRPr="00E81A6E">
              <w:rPr>
                <w:rFonts w:ascii="Times New Roman" w:eastAsia="MS Mincho" w:hAnsi="Times New Roman" w:cs="Times New Roman"/>
                <w:bCs/>
                <w:sz w:val="24"/>
                <w:szCs w:val="24"/>
                <w:lang w:val="bg-BG"/>
              </w:rPr>
              <w:t>Придобиване на НДА</w:t>
            </w:r>
          </w:p>
          <w:p w14:paraId="5E648B12" w14:textId="77777777" w:rsidR="00F83810" w:rsidRPr="00E81A6E" w:rsidRDefault="00F83810" w:rsidP="00F55B06">
            <w:pPr>
              <w:spacing w:after="0" w:line="240" w:lineRule="auto"/>
              <w:ind w:firstLine="720"/>
              <w:contextualSpacing/>
              <w:rPr>
                <w:rFonts w:ascii="Times New Roman" w:eastAsia="MS Mincho" w:hAnsi="Times New Roman" w:cs="Times New Roman"/>
                <w:bCs/>
                <w:sz w:val="24"/>
                <w:szCs w:val="24"/>
                <w:lang w:val="bg-BG"/>
              </w:rPr>
            </w:pPr>
          </w:p>
        </w:tc>
        <w:tc>
          <w:tcPr>
            <w:tcW w:w="2175" w:type="pct"/>
            <w:noWrap/>
          </w:tcPr>
          <w:p w14:paraId="52382022" w14:textId="77777777" w:rsidR="00F83810" w:rsidRPr="00E81A6E" w:rsidRDefault="00F83810" w:rsidP="00882664">
            <w:pPr>
              <w:spacing w:after="0" w:line="240" w:lineRule="auto"/>
              <w:contextualSpacing/>
              <w:jc w:val="center"/>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6,58</w:t>
            </w:r>
          </w:p>
          <w:p w14:paraId="4E359616" w14:textId="77777777" w:rsidR="00F83810" w:rsidRPr="00E81A6E" w:rsidRDefault="00F83810" w:rsidP="00882664">
            <w:pPr>
              <w:spacing w:after="0" w:line="240" w:lineRule="auto"/>
              <w:ind w:firstLine="720"/>
              <w:contextualSpacing/>
              <w:jc w:val="center"/>
              <w:rPr>
                <w:rFonts w:ascii="Times New Roman" w:eastAsia="MS Mincho" w:hAnsi="Times New Roman" w:cs="Times New Roman"/>
                <w:sz w:val="24"/>
                <w:szCs w:val="24"/>
                <w:lang w:val="bg-BG" w:eastAsia="bg-BG"/>
              </w:rPr>
            </w:pPr>
          </w:p>
        </w:tc>
      </w:tr>
      <w:tr w:rsidR="00882664" w:rsidRPr="00E81A6E" w14:paraId="0DAA4966" w14:textId="77777777" w:rsidTr="00882664">
        <w:trPr>
          <w:trHeight w:val="244"/>
        </w:trPr>
        <w:tc>
          <w:tcPr>
            <w:tcW w:w="2825" w:type="pct"/>
          </w:tcPr>
          <w:p w14:paraId="38AF04A9" w14:textId="77777777" w:rsidR="00F83810" w:rsidRPr="00E81A6E" w:rsidRDefault="00F83810" w:rsidP="00882664">
            <w:pPr>
              <w:spacing w:after="0" w:line="240" w:lineRule="auto"/>
              <w:contextualSpacing/>
              <w:rPr>
                <w:rFonts w:ascii="Times New Roman" w:eastAsia="MS Mincho" w:hAnsi="Times New Roman" w:cs="Times New Roman"/>
                <w:bCs/>
                <w:sz w:val="24"/>
                <w:szCs w:val="24"/>
                <w:lang w:val="bg-BG"/>
              </w:rPr>
            </w:pPr>
            <w:r w:rsidRPr="00E81A6E">
              <w:rPr>
                <w:rFonts w:ascii="Times New Roman" w:eastAsia="MS Mincho" w:hAnsi="Times New Roman" w:cs="Times New Roman"/>
                <w:bCs/>
                <w:sz w:val="24"/>
                <w:szCs w:val="24"/>
                <w:lang w:val="bg-BG"/>
              </w:rPr>
              <w:t>Придобиване на земя</w:t>
            </w:r>
          </w:p>
          <w:p w14:paraId="2D52A92D" w14:textId="77777777" w:rsidR="00F83810" w:rsidRPr="00E81A6E" w:rsidRDefault="00F83810" w:rsidP="00F55B06">
            <w:pPr>
              <w:spacing w:after="0" w:line="240" w:lineRule="auto"/>
              <w:ind w:firstLine="720"/>
              <w:contextualSpacing/>
              <w:rPr>
                <w:rFonts w:ascii="Times New Roman" w:eastAsia="MS Mincho" w:hAnsi="Times New Roman" w:cs="Times New Roman"/>
                <w:bCs/>
                <w:sz w:val="24"/>
                <w:szCs w:val="24"/>
                <w:lang w:val="bg-BG"/>
              </w:rPr>
            </w:pPr>
          </w:p>
        </w:tc>
        <w:tc>
          <w:tcPr>
            <w:tcW w:w="2175" w:type="pct"/>
            <w:noWrap/>
          </w:tcPr>
          <w:p w14:paraId="5730FEC2" w14:textId="77777777" w:rsidR="00F83810" w:rsidRPr="00E81A6E" w:rsidRDefault="00F83810" w:rsidP="00882664">
            <w:pPr>
              <w:spacing w:after="0" w:line="240" w:lineRule="auto"/>
              <w:contextualSpacing/>
              <w:jc w:val="center"/>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13,63</w:t>
            </w:r>
          </w:p>
        </w:tc>
      </w:tr>
      <w:tr w:rsidR="00882664" w:rsidRPr="00E81A6E" w14:paraId="46A9177A" w14:textId="77777777" w:rsidTr="00882664">
        <w:trPr>
          <w:trHeight w:val="244"/>
        </w:trPr>
        <w:tc>
          <w:tcPr>
            <w:tcW w:w="2825" w:type="pct"/>
          </w:tcPr>
          <w:p w14:paraId="58CE7744" w14:textId="77777777" w:rsidR="00F83810" w:rsidRPr="00E81A6E" w:rsidRDefault="00F83810" w:rsidP="00882664">
            <w:pPr>
              <w:spacing w:after="0" w:line="240" w:lineRule="auto"/>
              <w:contextualSpacing/>
              <w:rPr>
                <w:rFonts w:ascii="Times New Roman" w:eastAsia="MS Mincho" w:hAnsi="Times New Roman" w:cs="Times New Roman"/>
                <w:bCs/>
                <w:sz w:val="24"/>
                <w:szCs w:val="24"/>
                <w:lang w:val="bg-BG"/>
              </w:rPr>
            </w:pPr>
            <w:r w:rsidRPr="00E81A6E">
              <w:rPr>
                <w:rFonts w:ascii="Times New Roman" w:eastAsia="MS Mincho" w:hAnsi="Times New Roman" w:cs="Times New Roman"/>
                <w:bCs/>
                <w:sz w:val="24"/>
                <w:szCs w:val="24"/>
                <w:lang w:val="bg-BG"/>
              </w:rPr>
              <w:t>Капиталови трансфери</w:t>
            </w:r>
          </w:p>
          <w:p w14:paraId="03C241CD" w14:textId="77777777" w:rsidR="00F83810" w:rsidRPr="00E81A6E" w:rsidRDefault="00F83810" w:rsidP="00F55B06">
            <w:pPr>
              <w:spacing w:after="0" w:line="240" w:lineRule="auto"/>
              <w:ind w:firstLine="720"/>
              <w:contextualSpacing/>
              <w:rPr>
                <w:rFonts w:ascii="Times New Roman" w:eastAsia="MS Mincho" w:hAnsi="Times New Roman" w:cs="Times New Roman"/>
                <w:bCs/>
                <w:sz w:val="24"/>
                <w:szCs w:val="24"/>
                <w:lang w:val="bg-BG"/>
              </w:rPr>
            </w:pPr>
          </w:p>
        </w:tc>
        <w:tc>
          <w:tcPr>
            <w:tcW w:w="2175" w:type="pct"/>
            <w:noWrap/>
          </w:tcPr>
          <w:p w14:paraId="4E62FDA2" w14:textId="77777777" w:rsidR="00F83810" w:rsidRPr="00E81A6E" w:rsidRDefault="00F83810" w:rsidP="00882664">
            <w:pPr>
              <w:spacing w:after="0" w:line="240" w:lineRule="auto"/>
              <w:contextualSpacing/>
              <w:jc w:val="center"/>
              <w:rPr>
                <w:rFonts w:ascii="Times New Roman" w:eastAsia="MS Mincho" w:hAnsi="Times New Roman" w:cs="Times New Roman"/>
                <w:sz w:val="24"/>
                <w:szCs w:val="24"/>
                <w:lang w:val="bg-BG" w:eastAsia="bg-BG"/>
              </w:rPr>
            </w:pPr>
            <w:r w:rsidRPr="00E81A6E">
              <w:rPr>
                <w:rFonts w:ascii="Times New Roman" w:eastAsia="MS Mincho" w:hAnsi="Times New Roman" w:cs="Times New Roman"/>
                <w:sz w:val="24"/>
                <w:szCs w:val="24"/>
                <w:lang w:val="bg-BG" w:eastAsia="bg-BG"/>
              </w:rPr>
              <w:t>143,55</w:t>
            </w:r>
          </w:p>
        </w:tc>
      </w:tr>
      <w:tr w:rsidR="00882664" w:rsidRPr="00E81A6E" w14:paraId="3D763B19" w14:textId="77777777" w:rsidTr="00882664">
        <w:trPr>
          <w:trHeight w:val="511"/>
        </w:trPr>
        <w:tc>
          <w:tcPr>
            <w:tcW w:w="2825" w:type="pct"/>
          </w:tcPr>
          <w:p w14:paraId="5FF6852D" w14:textId="77777777" w:rsidR="00F83810" w:rsidRPr="00E81A6E" w:rsidRDefault="00F83810" w:rsidP="00882664">
            <w:pPr>
              <w:spacing w:after="0" w:line="240" w:lineRule="auto"/>
              <w:contextualSpacing/>
              <w:rPr>
                <w:rFonts w:ascii="Times New Roman" w:eastAsia="MS Mincho" w:hAnsi="Times New Roman" w:cs="Times New Roman"/>
                <w:b/>
                <w:bCs/>
                <w:sz w:val="24"/>
                <w:szCs w:val="24"/>
                <w:lang w:val="bg-BG"/>
              </w:rPr>
            </w:pPr>
            <w:r w:rsidRPr="00E81A6E">
              <w:rPr>
                <w:rFonts w:ascii="Times New Roman" w:eastAsia="MS Mincho" w:hAnsi="Times New Roman" w:cs="Times New Roman"/>
                <w:b/>
                <w:sz w:val="24"/>
                <w:szCs w:val="24"/>
                <w:lang w:val="bg-BG"/>
              </w:rPr>
              <w:t>Общо</w:t>
            </w:r>
          </w:p>
        </w:tc>
        <w:tc>
          <w:tcPr>
            <w:tcW w:w="2175" w:type="pct"/>
            <w:noWrap/>
          </w:tcPr>
          <w:p w14:paraId="0F5FF1BB" w14:textId="77777777" w:rsidR="00F83810" w:rsidRPr="00E81A6E" w:rsidRDefault="00F83810" w:rsidP="00882664">
            <w:pPr>
              <w:spacing w:after="0" w:line="240" w:lineRule="auto"/>
              <w:contextualSpacing/>
              <w:jc w:val="center"/>
              <w:rPr>
                <w:rFonts w:ascii="Times New Roman" w:eastAsia="MS Mincho" w:hAnsi="Times New Roman" w:cs="Times New Roman"/>
                <w:b/>
                <w:bCs/>
                <w:sz w:val="24"/>
                <w:szCs w:val="24"/>
                <w:lang w:val="bg-BG" w:eastAsia="bg-BG"/>
              </w:rPr>
            </w:pPr>
            <w:r w:rsidRPr="00E81A6E">
              <w:rPr>
                <w:rFonts w:ascii="Times New Roman" w:eastAsia="MS Mincho" w:hAnsi="Times New Roman" w:cs="Times New Roman"/>
                <w:b/>
                <w:bCs/>
                <w:sz w:val="24"/>
                <w:szCs w:val="24"/>
                <w:lang w:val="bg-BG" w:eastAsia="bg-BG"/>
              </w:rPr>
              <w:t>552,35</w:t>
            </w:r>
          </w:p>
          <w:p w14:paraId="6EC9595D" w14:textId="77777777" w:rsidR="00F83810" w:rsidRPr="00E81A6E" w:rsidRDefault="00F83810" w:rsidP="00882664">
            <w:pPr>
              <w:spacing w:after="0" w:line="240" w:lineRule="auto"/>
              <w:ind w:firstLine="720"/>
              <w:contextualSpacing/>
              <w:jc w:val="center"/>
              <w:rPr>
                <w:rFonts w:ascii="Times New Roman" w:eastAsia="MS Mincho" w:hAnsi="Times New Roman" w:cs="Times New Roman"/>
                <w:b/>
                <w:sz w:val="24"/>
                <w:szCs w:val="24"/>
                <w:lang w:val="bg-BG" w:eastAsia="bg-BG"/>
              </w:rPr>
            </w:pPr>
          </w:p>
        </w:tc>
      </w:tr>
    </w:tbl>
    <w:p w14:paraId="7BC600BA" w14:textId="77777777" w:rsidR="00F52677" w:rsidRPr="00E81A6E" w:rsidRDefault="00F52677" w:rsidP="00F55B06">
      <w:pPr>
        <w:pStyle w:val="Heading1"/>
        <w:spacing w:before="0" w:after="0"/>
        <w:ind w:firstLine="720"/>
        <w:contextualSpacing/>
        <w:rPr>
          <w:rFonts w:ascii="Times New Roman" w:hAnsi="Times New Roman" w:cs="Times New Roman"/>
          <w:color w:val="auto"/>
          <w:sz w:val="24"/>
          <w:szCs w:val="24"/>
          <w:lang w:val="bg-BG"/>
        </w:rPr>
      </w:pPr>
      <w:bookmarkStart w:id="33" w:name="_Toc409874544"/>
      <w:bookmarkStart w:id="34" w:name="_Toc499639773"/>
      <w:bookmarkStart w:id="35" w:name="_Toc500496069"/>
      <w:bookmarkStart w:id="36" w:name="_Toc500496415"/>
      <w:bookmarkStart w:id="37" w:name="_Toc61971768"/>
      <w:bookmarkEnd w:id="19"/>
      <w:bookmarkEnd w:id="20"/>
      <w:bookmarkEnd w:id="21"/>
      <w:bookmarkEnd w:id="26"/>
      <w:bookmarkEnd w:id="27"/>
      <w:bookmarkEnd w:id="28"/>
      <w:bookmarkEnd w:id="29"/>
      <w:bookmarkEnd w:id="30"/>
      <w:bookmarkEnd w:id="31"/>
      <w:bookmarkEnd w:id="32"/>
    </w:p>
    <w:p w14:paraId="7616C6D2" w14:textId="77777777" w:rsidR="00F52677" w:rsidRPr="00E81A6E" w:rsidRDefault="00F52677" w:rsidP="00F52677">
      <w:pPr>
        <w:rPr>
          <w:lang w:val="bg-BG"/>
        </w:rPr>
      </w:pPr>
      <w:r w:rsidRPr="00E81A6E">
        <w:rPr>
          <w:lang w:val="bg-BG"/>
        </w:rPr>
        <w:br w:type="page"/>
      </w:r>
    </w:p>
    <w:p w14:paraId="62D64BD1" w14:textId="77777777" w:rsidR="00205963" w:rsidRPr="00E81A6E" w:rsidRDefault="00205963" w:rsidP="00F55B06">
      <w:pPr>
        <w:pStyle w:val="Heading1"/>
        <w:spacing w:before="0" w:after="0"/>
        <w:ind w:firstLine="720"/>
        <w:contextualSpacing/>
        <w:rPr>
          <w:rFonts w:ascii="Times New Roman" w:hAnsi="Times New Roman" w:cs="Times New Roman"/>
          <w:color w:val="auto"/>
          <w:sz w:val="24"/>
          <w:szCs w:val="24"/>
          <w:lang w:val="bg-BG"/>
        </w:rPr>
      </w:pPr>
    </w:p>
    <w:p w14:paraId="52276F8F" w14:textId="77777777" w:rsidR="00625DCC" w:rsidRPr="00E81A6E" w:rsidRDefault="006F5B92" w:rsidP="00F55B06">
      <w:pPr>
        <w:pStyle w:val="Heading1"/>
        <w:spacing w:before="0" w:after="0"/>
        <w:ind w:firstLine="720"/>
        <w:contextualSpacing/>
        <w:rPr>
          <w:rFonts w:ascii="Times New Roman" w:hAnsi="Times New Roman" w:cs="Times New Roman"/>
          <w:color w:val="auto"/>
          <w:sz w:val="24"/>
          <w:szCs w:val="24"/>
          <w:lang w:val="ru-RU"/>
        </w:rPr>
      </w:pPr>
      <w:r w:rsidRPr="00E81A6E">
        <w:rPr>
          <w:rStyle w:val="SubtleEmphasis"/>
          <w:rFonts w:ascii="Times New Roman" w:hAnsi="Times New Roman" w:cs="Times New Roman"/>
          <w:i w:val="0"/>
          <w:iCs w:val="0"/>
          <w:color w:val="auto"/>
          <w:sz w:val="24"/>
          <w:szCs w:val="24"/>
          <w:lang w:val="ru-RU"/>
        </w:rPr>
        <w:t>БЮДЖЕТ 20</w:t>
      </w:r>
      <w:bookmarkEnd w:id="33"/>
      <w:bookmarkEnd w:id="34"/>
      <w:bookmarkEnd w:id="35"/>
      <w:bookmarkEnd w:id="36"/>
      <w:r w:rsidR="006D7025" w:rsidRPr="00E81A6E">
        <w:rPr>
          <w:rStyle w:val="SubtleEmphasis"/>
          <w:rFonts w:ascii="Times New Roman" w:hAnsi="Times New Roman" w:cs="Times New Roman"/>
          <w:i w:val="0"/>
          <w:iCs w:val="0"/>
          <w:color w:val="auto"/>
          <w:sz w:val="24"/>
          <w:szCs w:val="24"/>
          <w:lang w:val="ru-RU"/>
        </w:rPr>
        <w:t>2</w:t>
      </w:r>
      <w:r w:rsidR="00631B98" w:rsidRPr="00E81A6E">
        <w:rPr>
          <w:rStyle w:val="SubtleEmphasis"/>
          <w:rFonts w:ascii="Times New Roman" w:hAnsi="Times New Roman" w:cs="Times New Roman"/>
          <w:i w:val="0"/>
          <w:iCs w:val="0"/>
          <w:color w:val="auto"/>
          <w:sz w:val="24"/>
          <w:szCs w:val="24"/>
          <w:lang w:val="ru-RU"/>
        </w:rPr>
        <w:t>1</w:t>
      </w:r>
      <w:bookmarkEnd w:id="37"/>
    </w:p>
    <w:p w14:paraId="4DEFAA99"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7E708DC3" w14:textId="77777777" w:rsidR="003A607C" w:rsidRPr="00E81A6E" w:rsidRDefault="00B23F8D"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Бюджетът на Столична община за 2021г. е съобразен с Актуализираната средносрочна</w:t>
      </w:r>
      <w:r w:rsidR="003C3FEF" w:rsidRPr="00E81A6E">
        <w:rPr>
          <w:rFonts w:ascii="Times New Roman" w:hAnsi="Times New Roman" w:cs="Times New Roman"/>
          <w:sz w:val="24"/>
          <w:szCs w:val="24"/>
          <w:lang w:val="ru-RU"/>
        </w:rPr>
        <w:t xml:space="preserve"> бюджетна прогноза на държавата,</w:t>
      </w:r>
      <w:r w:rsidRPr="00E81A6E">
        <w:rPr>
          <w:rFonts w:ascii="Times New Roman" w:hAnsi="Times New Roman" w:cs="Times New Roman"/>
          <w:sz w:val="24"/>
          <w:szCs w:val="24"/>
          <w:lang w:val="ru-RU"/>
        </w:rPr>
        <w:t xml:space="preserve"> с тенденциите в развитието на икономиката в услов</w:t>
      </w:r>
      <w:r w:rsidR="003A607C" w:rsidRPr="00E81A6E">
        <w:rPr>
          <w:rFonts w:ascii="Times New Roman" w:hAnsi="Times New Roman" w:cs="Times New Roman"/>
          <w:sz w:val="24"/>
          <w:szCs w:val="24"/>
          <w:lang w:val="ru-RU"/>
        </w:rPr>
        <w:t>ията на пандемия и шансовете за плавно възстановяване</w:t>
      </w:r>
      <w:r w:rsidR="003A607C"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които се очертават </w:t>
      </w:r>
      <w:r w:rsidR="003A607C" w:rsidRPr="00E81A6E">
        <w:rPr>
          <w:rFonts w:ascii="Times New Roman" w:hAnsi="Times New Roman" w:cs="Times New Roman"/>
          <w:sz w:val="24"/>
          <w:szCs w:val="24"/>
          <w:lang w:val="ru-RU"/>
        </w:rPr>
        <w:t>с</w:t>
      </w:r>
      <w:r w:rsidR="00D80EF7" w:rsidRPr="00E81A6E">
        <w:rPr>
          <w:rFonts w:ascii="Times New Roman" w:hAnsi="Times New Roman" w:cs="Times New Roman"/>
          <w:sz w:val="24"/>
          <w:szCs w:val="24"/>
          <w:lang w:val="ru-RU"/>
        </w:rPr>
        <w:t>лед</w:t>
      </w:r>
      <w:r w:rsidR="003A607C" w:rsidRPr="00E81A6E">
        <w:rPr>
          <w:rFonts w:ascii="Times New Roman" w:hAnsi="Times New Roman" w:cs="Times New Roman"/>
          <w:sz w:val="24"/>
          <w:szCs w:val="24"/>
          <w:lang w:val="ru-RU"/>
        </w:rPr>
        <w:t xml:space="preserve"> прилагането на ваксина.</w:t>
      </w:r>
      <w:r w:rsidRPr="00E81A6E">
        <w:rPr>
          <w:rFonts w:ascii="Times New Roman" w:hAnsi="Times New Roman" w:cs="Times New Roman"/>
          <w:sz w:val="24"/>
          <w:szCs w:val="24"/>
          <w:lang w:val="ru-RU"/>
        </w:rPr>
        <w:t xml:space="preserve"> </w:t>
      </w:r>
    </w:p>
    <w:p w14:paraId="3EFB7E68" w14:textId="77777777" w:rsidR="006F5B92" w:rsidRPr="00E81A6E" w:rsidRDefault="003C3FEF"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Прогнозата за собствените приходи е изготвена на нив</w:t>
      </w:r>
      <w:r w:rsidR="003A607C" w:rsidRPr="00E81A6E">
        <w:rPr>
          <w:rFonts w:ascii="Times New Roman" w:hAnsi="Times New Roman" w:cs="Times New Roman"/>
          <w:sz w:val="24"/>
          <w:szCs w:val="24"/>
          <w:lang w:val="ru-RU"/>
        </w:rPr>
        <w:t>о</w:t>
      </w:r>
      <w:r w:rsidR="003A607C" w:rsidRPr="00E81A6E">
        <w:rPr>
          <w:rFonts w:ascii="Times New Roman" w:hAnsi="Times New Roman" w:cs="Times New Roman"/>
          <w:sz w:val="24"/>
          <w:szCs w:val="24"/>
        </w:rPr>
        <w:t xml:space="preserve"> -</w:t>
      </w:r>
      <w:r w:rsidRPr="00E81A6E">
        <w:rPr>
          <w:rFonts w:ascii="Times New Roman" w:hAnsi="Times New Roman" w:cs="Times New Roman"/>
          <w:sz w:val="24"/>
          <w:szCs w:val="24"/>
          <w:lang w:val="ru-RU"/>
        </w:rPr>
        <w:t xml:space="preserve"> близк</w:t>
      </w:r>
      <w:r w:rsidR="003A607C" w:rsidRPr="00E81A6E">
        <w:rPr>
          <w:rFonts w:ascii="Times New Roman" w:hAnsi="Times New Roman" w:cs="Times New Roman"/>
          <w:sz w:val="24"/>
          <w:szCs w:val="24"/>
          <w:lang w:val="ru-RU"/>
        </w:rPr>
        <w:t>о</w:t>
      </w:r>
      <w:r w:rsidR="00917A87" w:rsidRPr="00E81A6E">
        <w:rPr>
          <w:rFonts w:ascii="Times New Roman" w:hAnsi="Times New Roman" w:cs="Times New Roman"/>
          <w:sz w:val="24"/>
          <w:szCs w:val="24"/>
          <w:lang w:val="ru-RU"/>
        </w:rPr>
        <w:t>, но недостигащо</w:t>
      </w:r>
      <w:r w:rsidRPr="00E81A6E">
        <w:rPr>
          <w:rFonts w:ascii="Times New Roman" w:hAnsi="Times New Roman" w:cs="Times New Roman"/>
          <w:sz w:val="24"/>
          <w:szCs w:val="24"/>
          <w:lang w:val="ru-RU"/>
        </w:rPr>
        <w:t xml:space="preserve"> т</w:t>
      </w:r>
      <w:r w:rsidR="003A607C" w:rsidRPr="00E81A6E">
        <w:rPr>
          <w:rFonts w:ascii="Times New Roman" w:hAnsi="Times New Roman" w:cs="Times New Roman"/>
          <w:sz w:val="24"/>
          <w:szCs w:val="24"/>
          <w:lang w:val="ru-RU"/>
        </w:rPr>
        <w:t>ова</w:t>
      </w:r>
      <w:r w:rsidRPr="00E81A6E">
        <w:rPr>
          <w:rFonts w:ascii="Times New Roman" w:hAnsi="Times New Roman" w:cs="Times New Roman"/>
          <w:sz w:val="24"/>
          <w:szCs w:val="24"/>
          <w:lang w:val="ru-RU"/>
        </w:rPr>
        <w:t xml:space="preserve"> от предходната </w:t>
      </w:r>
      <w:r w:rsidR="00BE1271" w:rsidRPr="00E81A6E">
        <w:rPr>
          <w:rFonts w:ascii="Times New Roman" w:hAnsi="Times New Roman" w:cs="Times New Roman"/>
          <w:sz w:val="24"/>
          <w:szCs w:val="24"/>
          <w:lang w:val="ru-RU"/>
        </w:rPr>
        <w:t xml:space="preserve">2020 </w:t>
      </w:r>
      <w:r w:rsidRPr="00E81A6E">
        <w:rPr>
          <w:rFonts w:ascii="Times New Roman" w:hAnsi="Times New Roman" w:cs="Times New Roman"/>
          <w:sz w:val="24"/>
          <w:szCs w:val="24"/>
          <w:lang w:val="ru-RU"/>
        </w:rPr>
        <w:t>година</w:t>
      </w:r>
      <w:r w:rsidR="008655D0" w:rsidRPr="00E81A6E">
        <w:rPr>
          <w:rFonts w:ascii="Times New Roman" w:hAnsi="Times New Roman" w:cs="Times New Roman"/>
          <w:sz w:val="24"/>
          <w:szCs w:val="24"/>
          <w:lang w:val="ru-RU"/>
        </w:rPr>
        <w:t>, като за</w:t>
      </w:r>
      <w:r w:rsidRPr="00E81A6E">
        <w:rPr>
          <w:rFonts w:ascii="Times New Roman" w:hAnsi="Times New Roman" w:cs="Times New Roman"/>
          <w:sz w:val="24"/>
          <w:szCs w:val="24"/>
          <w:lang w:val="ru-RU"/>
        </w:rPr>
        <w:t xml:space="preserve"> по-негативен сценарий </w:t>
      </w:r>
      <w:r w:rsidR="008655D0" w:rsidRPr="00E81A6E">
        <w:rPr>
          <w:rFonts w:ascii="Times New Roman" w:hAnsi="Times New Roman" w:cs="Times New Roman"/>
          <w:sz w:val="24"/>
          <w:szCs w:val="24"/>
          <w:lang w:val="ru-RU"/>
        </w:rPr>
        <w:t>са</w:t>
      </w:r>
      <w:r w:rsidRPr="00E81A6E">
        <w:rPr>
          <w:rFonts w:ascii="Times New Roman" w:hAnsi="Times New Roman" w:cs="Times New Roman"/>
          <w:sz w:val="24"/>
          <w:szCs w:val="24"/>
          <w:lang w:val="ru-RU"/>
        </w:rPr>
        <w:t xml:space="preserve"> заложени буфери в разходната част на бюджета, които да позволят пропорционално поемане на тежестта от различните ресори, при съблюдаване на определените приоритети.</w:t>
      </w:r>
    </w:p>
    <w:p w14:paraId="512D2C54" w14:textId="77777777" w:rsidR="003A607C" w:rsidRPr="00E81A6E" w:rsidRDefault="003A607C"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Държавните трансфери са </w:t>
      </w:r>
      <w:r w:rsidR="00917A87" w:rsidRPr="00E81A6E">
        <w:rPr>
          <w:rFonts w:ascii="Times New Roman" w:hAnsi="Times New Roman" w:cs="Times New Roman"/>
          <w:sz w:val="24"/>
          <w:szCs w:val="24"/>
          <w:lang w:val="ru-RU"/>
        </w:rPr>
        <w:t>отразени в размерите, разчетени за Столична община със ЗДБРБ за 2021г., добавени са и преходните остатъци от 2020г.</w:t>
      </w:r>
    </w:p>
    <w:p w14:paraId="4D0A7678"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256FBF46" w14:textId="77777777" w:rsidR="006F5B92" w:rsidRPr="00E81A6E" w:rsidRDefault="006F5B92" w:rsidP="00F55B06">
      <w:pPr>
        <w:pStyle w:val="Heading3"/>
        <w:spacing w:before="0"/>
        <w:ind w:firstLine="720"/>
        <w:contextualSpacing/>
        <w:rPr>
          <w:rFonts w:ascii="Times New Roman" w:hAnsi="Times New Roman" w:cs="Times New Roman"/>
          <w:color w:val="auto"/>
          <w:sz w:val="24"/>
          <w:szCs w:val="24"/>
          <w:lang w:val="ru-RU"/>
        </w:rPr>
      </w:pPr>
      <w:bookmarkStart w:id="38" w:name="_Toc503629615"/>
      <w:bookmarkStart w:id="39" w:name="_Toc61971769"/>
      <w:bookmarkStart w:id="40" w:name="_Toc409874545"/>
      <w:bookmarkStart w:id="41" w:name="_Toc499639774"/>
      <w:bookmarkStart w:id="42" w:name="_Toc500496070"/>
      <w:bookmarkStart w:id="43" w:name="_Toc500496416"/>
      <w:r w:rsidRPr="00E81A6E">
        <w:rPr>
          <w:rFonts w:ascii="Times New Roman" w:hAnsi="Times New Roman" w:cs="Times New Roman"/>
          <w:color w:val="auto"/>
          <w:sz w:val="24"/>
          <w:szCs w:val="24"/>
          <w:lang w:val="ru-RU"/>
        </w:rPr>
        <w:t>ДАНЪЧНА ПОЛИТИКА И ПРОГНОЗА ЗА СОБСТВЕНИТЕ ПРИХОДИ</w:t>
      </w:r>
      <w:bookmarkEnd w:id="38"/>
      <w:bookmarkEnd w:id="39"/>
      <w:r w:rsidRPr="00E81A6E">
        <w:rPr>
          <w:rFonts w:ascii="Times New Roman" w:hAnsi="Times New Roman" w:cs="Times New Roman"/>
          <w:color w:val="auto"/>
          <w:sz w:val="24"/>
          <w:szCs w:val="24"/>
          <w:lang w:val="ru-RU"/>
        </w:rPr>
        <w:t xml:space="preserve"> </w:t>
      </w:r>
      <w:bookmarkEnd w:id="40"/>
      <w:bookmarkEnd w:id="41"/>
      <w:bookmarkEnd w:id="42"/>
      <w:bookmarkEnd w:id="43"/>
    </w:p>
    <w:p w14:paraId="4B09A690"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4C47BCC0"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Всичко приходи на Столична община за 20</w:t>
      </w:r>
      <w:r w:rsidR="006D7025" w:rsidRPr="00E81A6E">
        <w:rPr>
          <w:rFonts w:ascii="Times New Roman" w:hAnsi="Times New Roman" w:cs="Times New Roman"/>
          <w:sz w:val="24"/>
          <w:szCs w:val="24"/>
          <w:lang w:val="ru-RU"/>
        </w:rPr>
        <w:t>2</w:t>
      </w:r>
      <w:r w:rsidR="00166CFC" w:rsidRPr="00E81A6E">
        <w:rPr>
          <w:rFonts w:ascii="Times New Roman" w:hAnsi="Times New Roman" w:cs="Times New Roman"/>
          <w:sz w:val="24"/>
          <w:szCs w:val="24"/>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 предвижда се да постъпят средства в размер на 1 </w:t>
      </w:r>
      <w:r w:rsidR="00166CFC" w:rsidRPr="00E81A6E">
        <w:rPr>
          <w:rFonts w:ascii="Times New Roman" w:hAnsi="Times New Roman" w:cs="Times New Roman"/>
          <w:sz w:val="24"/>
          <w:szCs w:val="24"/>
        </w:rPr>
        <w:t>8</w:t>
      </w:r>
      <w:r w:rsidR="009027A2" w:rsidRPr="00E81A6E">
        <w:rPr>
          <w:rFonts w:ascii="Times New Roman" w:hAnsi="Times New Roman" w:cs="Times New Roman"/>
          <w:sz w:val="24"/>
          <w:szCs w:val="24"/>
        </w:rPr>
        <w:t>8</w:t>
      </w:r>
      <w:r w:rsidR="00142FB4" w:rsidRPr="00E81A6E">
        <w:rPr>
          <w:rFonts w:ascii="Times New Roman" w:hAnsi="Times New Roman" w:cs="Times New Roman"/>
          <w:sz w:val="24"/>
          <w:szCs w:val="24"/>
        </w:rPr>
        <w:t>5</w:t>
      </w:r>
      <w:r w:rsidR="00166CFC" w:rsidRPr="00E81A6E">
        <w:rPr>
          <w:rFonts w:ascii="Times New Roman" w:hAnsi="Times New Roman" w:cs="Times New Roman"/>
          <w:sz w:val="24"/>
          <w:szCs w:val="24"/>
        </w:rPr>
        <w:t xml:space="preserve"> </w:t>
      </w:r>
      <w:r w:rsidR="00142FB4" w:rsidRPr="00E81A6E">
        <w:rPr>
          <w:rFonts w:ascii="Times New Roman" w:hAnsi="Times New Roman" w:cs="Times New Roman"/>
          <w:sz w:val="24"/>
          <w:szCs w:val="24"/>
        </w:rPr>
        <w:t>4</w:t>
      </w:r>
      <w:r w:rsidR="00D80EF7" w:rsidRPr="00E81A6E">
        <w:rPr>
          <w:rFonts w:ascii="Times New Roman" w:hAnsi="Times New Roman" w:cs="Times New Roman"/>
          <w:sz w:val="24"/>
          <w:szCs w:val="24"/>
          <w:lang w:val="bg-BG"/>
        </w:rPr>
        <w:t>04</w:t>
      </w:r>
      <w:r w:rsidR="00166CFC" w:rsidRPr="00E81A6E">
        <w:rPr>
          <w:rFonts w:ascii="Times New Roman" w:hAnsi="Times New Roman" w:cs="Times New Roman"/>
          <w:sz w:val="24"/>
          <w:szCs w:val="24"/>
        </w:rPr>
        <w:t xml:space="preserve"> </w:t>
      </w:r>
      <w:r w:rsidR="00D80EF7" w:rsidRPr="00E81A6E">
        <w:rPr>
          <w:rFonts w:ascii="Times New Roman" w:hAnsi="Times New Roman" w:cs="Times New Roman"/>
          <w:sz w:val="24"/>
          <w:szCs w:val="24"/>
          <w:lang w:val="bg-BG"/>
        </w:rPr>
        <w:t>5</w:t>
      </w:r>
      <w:r w:rsidR="009027A2" w:rsidRPr="00E81A6E">
        <w:rPr>
          <w:rFonts w:ascii="Times New Roman" w:hAnsi="Times New Roman" w:cs="Times New Roman"/>
          <w:sz w:val="24"/>
          <w:szCs w:val="24"/>
        </w:rPr>
        <w:t>0</w:t>
      </w:r>
      <w:r w:rsidR="00521228" w:rsidRPr="00E81A6E">
        <w:rPr>
          <w:rFonts w:ascii="Times New Roman" w:hAnsi="Times New Roman" w:cs="Times New Roman"/>
          <w:sz w:val="24"/>
          <w:szCs w:val="24"/>
          <w:lang w:val="bg-BG"/>
        </w:rPr>
        <w:t>1</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7720F4CD"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465C619F"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rPr>
        <w:t>Таблица:</w:t>
      </w:r>
      <w:r w:rsidRPr="00E81A6E">
        <w:rPr>
          <w:rFonts w:ascii="Times New Roman" w:hAnsi="Times New Roman" w:cs="Times New Roman"/>
          <w:sz w:val="24"/>
          <w:szCs w:val="24"/>
        </w:rPr>
        <w:t xml:space="preserve"> Бюджет 20</w:t>
      </w:r>
      <w:r w:rsidR="006D7025" w:rsidRPr="00E81A6E">
        <w:rPr>
          <w:rFonts w:ascii="Times New Roman" w:hAnsi="Times New Roman" w:cs="Times New Roman"/>
          <w:sz w:val="24"/>
          <w:szCs w:val="24"/>
          <w:lang w:val="bg-BG"/>
        </w:rPr>
        <w:t>2</w:t>
      </w:r>
      <w:r w:rsidR="00166CFC" w:rsidRPr="00E81A6E">
        <w:rPr>
          <w:rFonts w:ascii="Times New Roman" w:hAnsi="Times New Roman" w:cs="Times New Roman"/>
          <w:sz w:val="24"/>
          <w:szCs w:val="24"/>
        </w:rPr>
        <w:t>1</w:t>
      </w:r>
      <w:r w:rsidRPr="00E81A6E">
        <w:rPr>
          <w:rFonts w:ascii="Times New Roman" w:hAnsi="Times New Roman" w:cs="Times New Roman"/>
          <w:sz w:val="24"/>
          <w:szCs w:val="24"/>
        </w:rPr>
        <w:t xml:space="preserve"> –приходи</w:t>
      </w:r>
    </w:p>
    <w:tbl>
      <w:tblPr>
        <w:tblW w:w="0" w:type="auto"/>
        <w:tblInd w:w="2" w:type="dxa"/>
        <w:tblLook w:val="00A0" w:firstRow="1" w:lastRow="0" w:firstColumn="1" w:lastColumn="0" w:noHBand="0" w:noVBand="0"/>
      </w:tblPr>
      <w:tblGrid>
        <w:gridCol w:w="6062"/>
        <w:gridCol w:w="3150"/>
      </w:tblGrid>
      <w:tr w:rsidR="006F5B92" w:rsidRPr="00E81A6E" w14:paraId="24EC4A41" w14:textId="77777777">
        <w:tc>
          <w:tcPr>
            <w:tcW w:w="6062" w:type="dxa"/>
            <w:tcBorders>
              <w:bottom w:val="single" w:sz="4" w:space="0" w:color="7F7F7F"/>
              <w:right w:val="nil"/>
            </w:tcBorders>
          </w:tcPr>
          <w:p w14:paraId="6119E20F" w14:textId="77777777" w:rsidR="006F5B92" w:rsidRPr="00E81A6E" w:rsidRDefault="006F5B92" w:rsidP="00F52677">
            <w:pPr>
              <w:spacing w:after="0" w:line="240" w:lineRule="auto"/>
              <w:contextualSpacing/>
              <w:jc w:val="center"/>
              <w:rPr>
                <w:rFonts w:ascii="Times New Roman" w:hAnsi="Times New Roman" w:cs="Times New Roman"/>
                <w:b/>
                <w:bCs/>
                <w:caps/>
                <w:sz w:val="24"/>
                <w:szCs w:val="24"/>
              </w:rPr>
            </w:pPr>
            <w:r w:rsidRPr="00E81A6E">
              <w:rPr>
                <w:rFonts w:ascii="Times New Roman" w:hAnsi="Times New Roman" w:cs="Times New Roman"/>
                <w:caps/>
                <w:sz w:val="24"/>
                <w:szCs w:val="24"/>
              </w:rPr>
              <w:t>Източник</w:t>
            </w:r>
          </w:p>
        </w:tc>
        <w:tc>
          <w:tcPr>
            <w:tcW w:w="3150" w:type="dxa"/>
            <w:tcBorders>
              <w:bottom w:val="single" w:sz="4" w:space="0" w:color="7F7F7F"/>
            </w:tcBorders>
          </w:tcPr>
          <w:p w14:paraId="3902365C" w14:textId="77777777" w:rsidR="006F5B92" w:rsidRPr="00E81A6E" w:rsidRDefault="006F5B92" w:rsidP="00F52677">
            <w:pPr>
              <w:spacing w:after="0" w:line="240" w:lineRule="auto"/>
              <w:contextualSpacing/>
              <w:jc w:val="center"/>
              <w:rPr>
                <w:rFonts w:ascii="Times New Roman" w:hAnsi="Times New Roman" w:cs="Times New Roman"/>
                <w:b/>
                <w:bCs/>
                <w:caps/>
                <w:sz w:val="24"/>
                <w:szCs w:val="24"/>
              </w:rPr>
            </w:pPr>
            <w:r w:rsidRPr="00E81A6E">
              <w:rPr>
                <w:rFonts w:ascii="Times New Roman" w:hAnsi="Times New Roman" w:cs="Times New Roman"/>
                <w:caps/>
                <w:sz w:val="24"/>
                <w:szCs w:val="24"/>
              </w:rPr>
              <w:t>Планиран размер (лева)</w:t>
            </w:r>
          </w:p>
        </w:tc>
      </w:tr>
      <w:tr w:rsidR="006F5B92" w:rsidRPr="00E81A6E" w14:paraId="1BC5723E" w14:textId="77777777">
        <w:tc>
          <w:tcPr>
            <w:tcW w:w="6062" w:type="dxa"/>
            <w:tcBorders>
              <w:right w:val="single" w:sz="4" w:space="0" w:color="7F7F7F"/>
            </w:tcBorders>
            <w:shd w:val="clear" w:color="auto" w:fill="F2F2F2"/>
          </w:tcPr>
          <w:p w14:paraId="17E9697F" w14:textId="77777777" w:rsidR="006F5B92" w:rsidRPr="00E81A6E" w:rsidRDefault="006F5B92" w:rsidP="00350B12">
            <w:pPr>
              <w:pStyle w:val="ListParagraph"/>
              <w:numPr>
                <w:ilvl w:val="0"/>
                <w:numId w:val="7"/>
              </w:num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Бюджетни приходи</w:t>
            </w:r>
          </w:p>
        </w:tc>
        <w:tc>
          <w:tcPr>
            <w:tcW w:w="3150" w:type="dxa"/>
            <w:shd w:val="clear" w:color="auto" w:fill="F2F2F2"/>
          </w:tcPr>
          <w:p w14:paraId="7080E45B" w14:textId="77777777" w:rsidR="006F5B92" w:rsidRPr="00E81A6E" w:rsidRDefault="006F5B92" w:rsidP="00F52677">
            <w:pPr>
              <w:spacing w:after="0" w:line="240" w:lineRule="auto"/>
              <w:contextualSpacing/>
              <w:jc w:val="center"/>
              <w:rPr>
                <w:rFonts w:ascii="Times New Roman" w:hAnsi="Times New Roman" w:cs="Times New Roman"/>
                <w:sz w:val="24"/>
                <w:szCs w:val="24"/>
                <w:lang w:val="bg-BG"/>
              </w:rPr>
            </w:pPr>
            <w:r w:rsidRPr="00E81A6E">
              <w:rPr>
                <w:rFonts w:ascii="Times New Roman" w:hAnsi="Times New Roman" w:cs="Times New Roman"/>
                <w:sz w:val="24"/>
                <w:szCs w:val="24"/>
              </w:rPr>
              <w:t>1</w:t>
            </w:r>
            <w:r w:rsidRPr="00E81A6E">
              <w:rPr>
                <w:rFonts w:ascii="Times New Roman" w:hAnsi="Times New Roman" w:cs="Times New Roman"/>
                <w:sz w:val="24"/>
                <w:szCs w:val="24"/>
                <w:lang w:val="bg-BG"/>
              </w:rPr>
              <w:t> </w:t>
            </w:r>
            <w:r w:rsidR="009027A2" w:rsidRPr="00E81A6E">
              <w:rPr>
                <w:rFonts w:ascii="Times New Roman" w:hAnsi="Times New Roman" w:cs="Times New Roman"/>
                <w:sz w:val="24"/>
                <w:szCs w:val="24"/>
              </w:rPr>
              <w:t>58</w:t>
            </w:r>
            <w:r w:rsidR="00142FB4" w:rsidRPr="00E81A6E">
              <w:rPr>
                <w:rFonts w:ascii="Times New Roman" w:hAnsi="Times New Roman" w:cs="Times New Roman"/>
                <w:sz w:val="24"/>
                <w:szCs w:val="24"/>
              </w:rPr>
              <w:t>9</w:t>
            </w:r>
            <w:r w:rsidR="00166CFC" w:rsidRPr="00E81A6E">
              <w:rPr>
                <w:rFonts w:ascii="Times New Roman" w:hAnsi="Times New Roman" w:cs="Times New Roman"/>
                <w:sz w:val="24"/>
                <w:szCs w:val="24"/>
              </w:rPr>
              <w:t xml:space="preserve"> </w:t>
            </w:r>
            <w:r w:rsidR="00142FB4" w:rsidRPr="00E81A6E">
              <w:rPr>
                <w:rFonts w:ascii="Times New Roman" w:hAnsi="Times New Roman" w:cs="Times New Roman"/>
                <w:sz w:val="24"/>
                <w:szCs w:val="24"/>
              </w:rPr>
              <w:t>1</w:t>
            </w:r>
            <w:r w:rsidR="00D80EF7" w:rsidRPr="00E81A6E">
              <w:rPr>
                <w:rFonts w:ascii="Times New Roman" w:hAnsi="Times New Roman" w:cs="Times New Roman"/>
                <w:sz w:val="24"/>
                <w:szCs w:val="24"/>
                <w:lang w:val="bg-BG"/>
              </w:rPr>
              <w:t>74</w:t>
            </w:r>
            <w:r w:rsidR="00166CFC" w:rsidRPr="00E81A6E">
              <w:rPr>
                <w:rFonts w:ascii="Times New Roman" w:hAnsi="Times New Roman" w:cs="Times New Roman"/>
                <w:sz w:val="24"/>
                <w:szCs w:val="24"/>
              </w:rPr>
              <w:t xml:space="preserve"> </w:t>
            </w:r>
            <w:r w:rsidR="00D80EF7" w:rsidRPr="00E81A6E">
              <w:rPr>
                <w:rFonts w:ascii="Times New Roman" w:hAnsi="Times New Roman" w:cs="Times New Roman"/>
                <w:sz w:val="24"/>
                <w:szCs w:val="24"/>
                <w:lang w:val="bg-BG"/>
              </w:rPr>
              <w:t>1</w:t>
            </w:r>
            <w:r w:rsidR="00884696" w:rsidRPr="00E81A6E">
              <w:rPr>
                <w:rFonts w:ascii="Times New Roman" w:hAnsi="Times New Roman" w:cs="Times New Roman"/>
                <w:sz w:val="24"/>
                <w:szCs w:val="24"/>
              </w:rPr>
              <w:t>2</w:t>
            </w:r>
            <w:r w:rsidR="00521228" w:rsidRPr="00E81A6E">
              <w:rPr>
                <w:rFonts w:ascii="Times New Roman" w:hAnsi="Times New Roman" w:cs="Times New Roman"/>
                <w:sz w:val="24"/>
                <w:szCs w:val="24"/>
                <w:lang w:val="bg-BG"/>
              </w:rPr>
              <w:t>7</w:t>
            </w:r>
          </w:p>
        </w:tc>
      </w:tr>
      <w:tr w:rsidR="006F5B92" w:rsidRPr="00E81A6E" w14:paraId="3974EA53" w14:textId="77777777">
        <w:tc>
          <w:tcPr>
            <w:tcW w:w="6062" w:type="dxa"/>
            <w:tcBorders>
              <w:right w:val="single" w:sz="4" w:space="0" w:color="7F7F7F"/>
            </w:tcBorders>
          </w:tcPr>
          <w:p w14:paraId="00BC7FAE" w14:textId="77777777" w:rsidR="006F5B92" w:rsidRPr="00E81A6E" w:rsidRDefault="006F5B92" w:rsidP="00350B12">
            <w:pPr>
              <w:pStyle w:val="ListParagraph"/>
              <w:numPr>
                <w:ilvl w:val="0"/>
                <w:numId w:val="7"/>
              </w:num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Приходи по Европейски програми и проекти</w:t>
            </w:r>
          </w:p>
        </w:tc>
        <w:tc>
          <w:tcPr>
            <w:tcW w:w="3150" w:type="dxa"/>
          </w:tcPr>
          <w:p w14:paraId="5A7AF0CE" w14:textId="77777777" w:rsidR="006F5B92" w:rsidRPr="00E81A6E" w:rsidRDefault="00521FD0" w:rsidP="00F52677">
            <w:pPr>
              <w:spacing w:after="0" w:line="240" w:lineRule="auto"/>
              <w:contextualSpacing/>
              <w:jc w:val="center"/>
              <w:rPr>
                <w:rFonts w:ascii="Times New Roman" w:hAnsi="Times New Roman" w:cs="Times New Roman"/>
                <w:sz w:val="24"/>
                <w:szCs w:val="24"/>
              </w:rPr>
            </w:pPr>
            <w:r w:rsidRPr="00E81A6E">
              <w:rPr>
                <w:rFonts w:ascii="Times New Roman" w:hAnsi="Times New Roman" w:cs="Times New Roman"/>
                <w:sz w:val="24"/>
                <w:szCs w:val="24"/>
                <w:lang w:val="bg-BG"/>
              </w:rPr>
              <w:t>2</w:t>
            </w:r>
            <w:r w:rsidR="00884696" w:rsidRPr="00E81A6E">
              <w:rPr>
                <w:rFonts w:ascii="Times New Roman" w:hAnsi="Times New Roman" w:cs="Times New Roman"/>
                <w:sz w:val="24"/>
                <w:szCs w:val="24"/>
              </w:rPr>
              <w:t>96</w:t>
            </w:r>
            <w:r w:rsidR="00166CFC" w:rsidRPr="00E81A6E">
              <w:rPr>
                <w:rFonts w:ascii="Times New Roman" w:hAnsi="Times New Roman" w:cs="Times New Roman"/>
                <w:sz w:val="24"/>
                <w:szCs w:val="24"/>
              </w:rPr>
              <w:t xml:space="preserve"> </w:t>
            </w:r>
            <w:r w:rsidR="00884696" w:rsidRPr="00E81A6E">
              <w:rPr>
                <w:rFonts w:ascii="Times New Roman" w:hAnsi="Times New Roman" w:cs="Times New Roman"/>
                <w:sz w:val="24"/>
                <w:szCs w:val="24"/>
              </w:rPr>
              <w:t>230</w:t>
            </w:r>
            <w:r w:rsidR="00166CFC" w:rsidRPr="00E81A6E">
              <w:rPr>
                <w:rFonts w:ascii="Times New Roman" w:hAnsi="Times New Roman" w:cs="Times New Roman"/>
                <w:sz w:val="24"/>
                <w:szCs w:val="24"/>
              </w:rPr>
              <w:t xml:space="preserve"> </w:t>
            </w:r>
            <w:r w:rsidR="00884696" w:rsidRPr="00E81A6E">
              <w:rPr>
                <w:rFonts w:ascii="Times New Roman" w:hAnsi="Times New Roman" w:cs="Times New Roman"/>
                <w:sz w:val="24"/>
                <w:szCs w:val="24"/>
              </w:rPr>
              <w:t>374</w:t>
            </w:r>
          </w:p>
        </w:tc>
      </w:tr>
      <w:tr w:rsidR="006F5B92" w:rsidRPr="00E81A6E" w14:paraId="5E781CB6" w14:textId="77777777">
        <w:tc>
          <w:tcPr>
            <w:tcW w:w="6062" w:type="dxa"/>
            <w:tcBorders>
              <w:right w:val="single" w:sz="4" w:space="0" w:color="7F7F7F"/>
            </w:tcBorders>
            <w:shd w:val="clear" w:color="auto" w:fill="F2F2F2"/>
          </w:tcPr>
          <w:p w14:paraId="554E4F23"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caps/>
                <w:sz w:val="24"/>
                <w:szCs w:val="24"/>
              </w:rPr>
              <w:t>ОБЩО</w:t>
            </w:r>
          </w:p>
        </w:tc>
        <w:tc>
          <w:tcPr>
            <w:tcW w:w="3150" w:type="dxa"/>
            <w:shd w:val="clear" w:color="auto" w:fill="F2F2F2"/>
          </w:tcPr>
          <w:p w14:paraId="383EDB84" w14:textId="77777777" w:rsidR="006F5B92" w:rsidRPr="00E81A6E" w:rsidRDefault="00C917EA" w:rsidP="00F52677">
            <w:pPr>
              <w:spacing w:after="0" w:line="240" w:lineRule="auto"/>
              <w:contextualSpacing/>
              <w:jc w:val="center"/>
              <w:rPr>
                <w:rFonts w:ascii="Times New Roman" w:hAnsi="Times New Roman" w:cs="Times New Roman"/>
                <w:b/>
                <w:bCs/>
                <w:sz w:val="24"/>
                <w:szCs w:val="24"/>
                <w:lang w:val="bg-BG"/>
              </w:rPr>
            </w:pPr>
            <w:r w:rsidRPr="00E81A6E">
              <w:rPr>
                <w:rFonts w:ascii="Times New Roman" w:hAnsi="Times New Roman" w:cs="Times New Roman"/>
                <w:b/>
                <w:bCs/>
                <w:sz w:val="24"/>
                <w:szCs w:val="24"/>
              </w:rPr>
              <w:t xml:space="preserve">1 </w:t>
            </w:r>
            <w:r w:rsidR="00166CFC" w:rsidRPr="00E81A6E">
              <w:rPr>
                <w:rFonts w:ascii="Times New Roman" w:hAnsi="Times New Roman" w:cs="Times New Roman"/>
                <w:b/>
                <w:bCs/>
                <w:sz w:val="24"/>
                <w:szCs w:val="24"/>
              </w:rPr>
              <w:t>8</w:t>
            </w:r>
            <w:r w:rsidR="00884696" w:rsidRPr="00E81A6E">
              <w:rPr>
                <w:rFonts w:ascii="Times New Roman" w:hAnsi="Times New Roman" w:cs="Times New Roman"/>
                <w:b/>
                <w:bCs/>
                <w:sz w:val="24"/>
                <w:szCs w:val="24"/>
              </w:rPr>
              <w:t>8</w:t>
            </w:r>
            <w:r w:rsidR="00142FB4" w:rsidRPr="00E81A6E">
              <w:rPr>
                <w:rFonts w:ascii="Times New Roman" w:hAnsi="Times New Roman" w:cs="Times New Roman"/>
                <w:b/>
                <w:bCs/>
                <w:sz w:val="24"/>
                <w:szCs w:val="24"/>
              </w:rPr>
              <w:t>5</w:t>
            </w:r>
            <w:r w:rsidR="00166CFC" w:rsidRPr="00E81A6E">
              <w:rPr>
                <w:rFonts w:ascii="Times New Roman" w:hAnsi="Times New Roman" w:cs="Times New Roman"/>
                <w:b/>
                <w:bCs/>
                <w:sz w:val="24"/>
                <w:szCs w:val="24"/>
              </w:rPr>
              <w:t xml:space="preserve"> </w:t>
            </w:r>
            <w:r w:rsidR="00142FB4" w:rsidRPr="00E81A6E">
              <w:rPr>
                <w:rFonts w:ascii="Times New Roman" w:hAnsi="Times New Roman" w:cs="Times New Roman"/>
                <w:b/>
                <w:bCs/>
                <w:sz w:val="24"/>
                <w:szCs w:val="24"/>
              </w:rPr>
              <w:t>4</w:t>
            </w:r>
            <w:r w:rsidR="00D80EF7" w:rsidRPr="00E81A6E">
              <w:rPr>
                <w:rFonts w:ascii="Times New Roman" w:hAnsi="Times New Roman" w:cs="Times New Roman"/>
                <w:b/>
                <w:bCs/>
                <w:sz w:val="24"/>
                <w:szCs w:val="24"/>
                <w:lang w:val="bg-BG"/>
              </w:rPr>
              <w:t>04</w:t>
            </w:r>
            <w:r w:rsidR="00166CFC" w:rsidRPr="00E81A6E">
              <w:rPr>
                <w:rFonts w:ascii="Times New Roman" w:hAnsi="Times New Roman" w:cs="Times New Roman"/>
                <w:b/>
                <w:bCs/>
                <w:sz w:val="24"/>
                <w:szCs w:val="24"/>
              </w:rPr>
              <w:t xml:space="preserve"> </w:t>
            </w:r>
            <w:r w:rsidR="00D80EF7" w:rsidRPr="00E81A6E">
              <w:rPr>
                <w:rFonts w:ascii="Times New Roman" w:hAnsi="Times New Roman" w:cs="Times New Roman"/>
                <w:b/>
                <w:bCs/>
                <w:sz w:val="24"/>
                <w:szCs w:val="24"/>
                <w:lang w:val="bg-BG"/>
              </w:rPr>
              <w:t>5</w:t>
            </w:r>
            <w:r w:rsidR="00884696" w:rsidRPr="00E81A6E">
              <w:rPr>
                <w:rFonts w:ascii="Times New Roman" w:hAnsi="Times New Roman" w:cs="Times New Roman"/>
                <w:b/>
                <w:bCs/>
                <w:sz w:val="24"/>
                <w:szCs w:val="24"/>
              </w:rPr>
              <w:t>0</w:t>
            </w:r>
            <w:r w:rsidR="00521228" w:rsidRPr="00E81A6E">
              <w:rPr>
                <w:rFonts w:ascii="Times New Roman" w:hAnsi="Times New Roman" w:cs="Times New Roman"/>
                <w:b/>
                <w:bCs/>
                <w:sz w:val="24"/>
                <w:szCs w:val="24"/>
                <w:lang w:val="bg-BG"/>
              </w:rPr>
              <w:t>1</w:t>
            </w:r>
          </w:p>
        </w:tc>
      </w:tr>
    </w:tbl>
    <w:p w14:paraId="40F25014"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p>
    <w:p w14:paraId="2AF6E090" w14:textId="77777777" w:rsidR="006F5B92" w:rsidRPr="00E81A6E" w:rsidRDefault="006F5B92" w:rsidP="00F55B06">
      <w:pPr>
        <w:pStyle w:val="Heading3"/>
        <w:spacing w:before="0"/>
        <w:ind w:firstLine="720"/>
        <w:contextualSpacing/>
        <w:rPr>
          <w:rFonts w:ascii="Times New Roman" w:hAnsi="Times New Roman" w:cs="Times New Roman"/>
          <w:color w:val="auto"/>
          <w:sz w:val="24"/>
          <w:szCs w:val="24"/>
        </w:rPr>
      </w:pPr>
      <w:bookmarkStart w:id="44" w:name="_Toc409874546"/>
      <w:bookmarkStart w:id="45" w:name="_Toc499639775"/>
      <w:bookmarkStart w:id="46" w:name="_Toc500496071"/>
      <w:bookmarkStart w:id="47" w:name="_Toc500496417"/>
      <w:bookmarkStart w:id="48" w:name="_Toc503629616"/>
      <w:bookmarkStart w:id="49" w:name="_Toc61971770"/>
      <w:r w:rsidRPr="00E81A6E">
        <w:rPr>
          <w:rFonts w:ascii="Times New Roman" w:hAnsi="Times New Roman" w:cs="Times New Roman"/>
          <w:color w:val="auto"/>
          <w:sz w:val="24"/>
          <w:szCs w:val="24"/>
        </w:rPr>
        <w:t>ПРЕОТСТЪПЕНИ ДЪРЖАВНИ ПРИХОДИ</w:t>
      </w:r>
      <w:bookmarkEnd w:id="44"/>
      <w:bookmarkEnd w:id="45"/>
      <w:bookmarkEnd w:id="46"/>
      <w:bookmarkEnd w:id="47"/>
      <w:bookmarkEnd w:id="48"/>
      <w:bookmarkEnd w:id="49"/>
      <w:r w:rsidRPr="00E81A6E">
        <w:rPr>
          <w:rFonts w:ascii="Times New Roman" w:hAnsi="Times New Roman" w:cs="Times New Roman"/>
          <w:color w:val="auto"/>
          <w:sz w:val="24"/>
          <w:szCs w:val="24"/>
        </w:rPr>
        <w:t xml:space="preserve"> </w:t>
      </w:r>
    </w:p>
    <w:p w14:paraId="5C11D139"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32945A8A" w14:textId="1BDD629A"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ru-RU"/>
        </w:rPr>
        <w:t>С Решени</w:t>
      </w:r>
      <w:r w:rsidRPr="00E81A6E">
        <w:rPr>
          <w:rFonts w:ascii="Times New Roman" w:hAnsi="Times New Roman" w:cs="Times New Roman"/>
          <w:sz w:val="24"/>
          <w:szCs w:val="24"/>
          <w:lang w:val="bg-BG"/>
        </w:rPr>
        <w:t>е</w:t>
      </w:r>
      <w:r w:rsidRPr="00E81A6E">
        <w:rPr>
          <w:rFonts w:ascii="Times New Roman" w:hAnsi="Times New Roman" w:cs="Times New Roman"/>
          <w:sz w:val="24"/>
          <w:szCs w:val="24"/>
          <w:lang w:val="ru-RU"/>
        </w:rPr>
        <w:t xml:space="preserve"> на Министерски съвет</w:t>
      </w:r>
      <w:r w:rsidR="00521FD0" w:rsidRPr="00E81A6E">
        <w:rPr>
          <w:rFonts w:ascii="Times New Roman" w:hAnsi="Times New Roman" w:cs="Times New Roman"/>
          <w:sz w:val="24"/>
          <w:szCs w:val="24"/>
          <w:lang w:val="bg-BG" w:eastAsia="en-US"/>
        </w:rPr>
        <w:t xml:space="preserve"> </w:t>
      </w:r>
      <w:r w:rsidR="00521228" w:rsidRPr="00E81A6E">
        <w:rPr>
          <w:rFonts w:ascii="Times New Roman" w:hAnsi="Times New Roman" w:cs="Times New Roman"/>
          <w:sz w:val="24"/>
          <w:szCs w:val="24"/>
          <w:lang w:val="bg-BG" w:eastAsia="en-US"/>
        </w:rPr>
        <w:t xml:space="preserve">/РМС/ </w:t>
      </w:r>
      <w:r w:rsidR="00521FD0" w:rsidRPr="00E81A6E">
        <w:rPr>
          <w:rFonts w:ascii="Times New Roman" w:hAnsi="Times New Roman" w:cs="Times New Roman"/>
          <w:sz w:val="24"/>
          <w:szCs w:val="24"/>
          <w:lang w:val="bg-BG" w:eastAsia="en-US"/>
        </w:rPr>
        <w:t xml:space="preserve">№ </w:t>
      </w:r>
      <w:r w:rsidR="00690CE7" w:rsidRPr="00E81A6E">
        <w:rPr>
          <w:rFonts w:ascii="Times New Roman" w:hAnsi="Times New Roman" w:cs="Times New Roman"/>
          <w:sz w:val="24"/>
          <w:szCs w:val="24"/>
          <w:lang w:val="bg-BG" w:eastAsia="en-US"/>
        </w:rPr>
        <w:t>7</w:t>
      </w:r>
      <w:r w:rsidR="00DC769C" w:rsidRPr="00E81A6E">
        <w:rPr>
          <w:rFonts w:ascii="Times New Roman" w:hAnsi="Times New Roman" w:cs="Times New Roman"/>
          <w:sz w:val="24"/>
          <w:szCs w:val="24"/>
          <w:lang w:val="bg-BG" w:eastAsia="en-US"/>
        </w:rPr>
        <w:t>90</w:t>
      </w:r>
      <w:r w:rsidR="00521FD0" w:rsidRPr="00E81A6E">
        <w:rPr>
          <w:rFonts w:ascii="Times New Roman" w:hAnsi="Times New Roman" w:cs="Times New Roman"/>
          <w:sz w:val="24"/>
          <w:szCs w:val="24"/>
          <w:lang w:val="bg-BG" w:eastAsia="en-US"/>
        </w:rPr>
        <w:t>/</w:t>
      </w:r>
      <w:r w:rsidR="00DC769C" w:rsidRPr="00E81A6E">
        <w:rPr>
          <w:rFonts w:ascii="Times New Roman" w:hAnsi="Times New Roman" w:cs="Times New Roman"/>
          <w:sz w:val="24"/>
          <w:szCs w:val="24"/>
          <w:lang w:val="bg-BG" w:eastAsia="en-US"/>
        </w:rPr>
        <w:t>30</w:t>
      </w:r>
      <w:r w:rsidR="00521FD0" w:rsidRPr="00E81A6E">
        <w:rPr>
          <w:rFonts w:ascii="Times New Roman" w:hAnsi="Times New Roman" w:cs="Times New Roman"/>
          <w:sz w:val="24"/>
          <w:szCs w:val="24"/>
          <w:lang w:val="bg-BG" w:eastAsia="en-US"/>
        </w:rPr>
        <w:t>.</w:t>
      </w:r>
      <w:r w:rsidR="00DC769C" w:rsidRPr="00E81A6E">
        <w:rPr>
          <w:rFonts w:ascii="Times New Roman" w:hAnsi="Times New Roman" w:cs="Times New Roman"/>
          <w:sz w:val="24"/>
          <w:szCs w:val="24"/>
          <w:lang w:val="bg-BG" w:eastAsia="en-US"/>
        </w:rPr>
        <w:t>10</w:t>
      </w:r>
      <w:r w:rsidR="00521FD0" w:rsidRPr="00E81A6E">
        <w:rPr>
          <w:rFonts w:ascii="Times New Roman" w:hAnsi="Times New Roman" w:cs="Times New Roman"/>
          <w:sz w:val="24"/>
          <w:szCs w:val="24"/>
          <w:lang w:val="bg-BG" w:eastAsia="en-US"/>
        </w:rPr>
        <w:t>.20</w:t>
      </w:r>
      <w:r w:rsidR="00DC769C" w:rsidRPr="00E81A6E">
        <w:rPr>
          <w:rFonts w:ascii="Times New Roman" w:hAnsi="Times New Roman" w:cs="Times New Roman"/>
          <w:sz w:val="24"/>
          <w:szCs w:val="24"/>
          <w:lang w:val="bg-BG" w:eastAsia="en-US"/>
        </w:rPr>
        <w:t>20</w:t>
      </w:r>
      <w:r w:rsidR="00AC52E9" w:rsidRPr="00E81A6E">
        <w:rPr>
          <w:rFonts w:ascii="Times New Roman" w:hAnsi="Times New Roman" w:cs="Times New Roman"/>
          <w:sz w:val="24"/>
          <w:szCs w:val="24"/>
          <w:lang w:val="bg-BG" w:eastAsia="en-US"/>
        </w:rPr>
        <w:t>г.</w:t>
      </w:r>
      <w:r w:rsidR="00521228" w:rsidRPr="00E81A6E">
        <w:rPr>
          <w:rFonts w:ascii="Times New Roman" w:hAnsi="Times New Roman" w:cs="Times New Roman"/>
          <w:sz w:val="24"/>
          <w:szCs w:val="24"/>
          <w:lang w:val="bg-BG" w:eastAsia="en-US"/>
        </w:rPr>
        <w:t>, изменено и допълнено с РМС №</w:t>
      </w:r>
      <w:r w:rsidR="006C7D95">
        <w:rPr>
          <w:rFonts w:ascii="Times New Roman" w:hAnsi="Times New Roman" w:cs="Times New Roman"/>
          <w:sz w:val="24"/>
          <w:szCs w:val="24"/>
          <w:lang w:val="bg-BG" w:eastAsia="en-US"/>
        </w:rPr>
        <w:t xml:space="preserve"> </w:t>
      </w:r>
      <w:r w:rsidR="00521228" w:rsidRPr="00E81A6E">
        <w:rPr>
          <w:rFonts w:ascii="Times New Roman" w:hAnsi="Times New Roman" w:cs="Times New Roman"/>
          <w:sz w:val="24"/>
          <w:szCs w:val="24"/>
          <w:lang w:val="bg-BG" w:eastAsia="en-US"/>
        </w:rPr>
        <w:t>972/2020г.</w:t>
      </w:r>
      <w:r w:rsidR="006C7D95">
        <w:rPr>
          <w:rFonts w:ascii="Times New Roman" w:hAnsi="Times New Roman" w:cs="Times New Roman"/>
          <w:sz w:val="24"/>
          <w:szCs w:val="24"/>
          <w:lang w:val="bg-BG" w:eastAsia="en-US"/>
        </w:rPr>
        <w:t>,</w:t>
      </w:r>
      <w:r w:rsidR="00521FD0"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с</w:t>
      </w:r>
      <w:r w:rsidRPr="00E81A6E">
        <w:rPr>
          <w:rFonts w:ascii="Times New Roman" w:hAnsi="Times New Roman" w:cs="Times New Roman"/>
          <w:sz w:val="24"/>
          <w:szCs w:val="24"/>
          <w:lang w:eastAsia="en-US"/>
        </w:rPr>
        <w:t>e</w:t>
      </w:r>
      <w:r w:rsidRPr="00E81A6E">
        <w:rPr>
          <w:rFonts w:ascii="Times New Roman" w:hAnsi="Times New Roman" w:cs="Times New Roman"/>
          <w:sz w:val="24"/>
          <w:szCs w:val="24"/>
          <w:lang w:val="bg-BG" w:eastAsia="en-US"/>
        </w:rPr>
        <w:t xml:space="preserve"> приемат </w:t>
      </w:r>
      <w:r w:rsidRPr="00E81A6E">
        <w:rPr>
          <w:rFonts w:ascii="Times New Roman" w:hAnsi="Times New Roman" w:cs="Times New Roman"/>
          <w:sz w:val="24"/>
          <w:szCs w:val="24"/>
          <w:lang w:val="ru-RU"/>
        </w:rPr>
        <w:t xml:space="preserve">единните разходни </w:t>
      </w:r>
      <w:r w:rsidRPr="00E81A6E">
        <w:rPr>
          <w:rFonts w:ascii="Times New Roman" w:hAnsi="Times New Roman" w:cs="Times New Roman"/>
          <w:sz w:val="24"/>
          <w:szCs w:val="24"/>
          <w:lang w:val="bg-BG" w:eastAsia="en-US"/>
        </w:rPr>
        <w:t>стандарти за делегираните от държавата дейности с натурални и стойностни показатели</w:t>
      </w:r>
      <w:r w:rsidR="00DC769C" w:rsidRPr="00E81A6E">
        <w:rPr>
          <w:rFonts w:ascii="Times New Roman" w:hAnsi="Times New Roman" w:cs="Times New Roman"/>
          <w:sz w:val="24"/>
          <w:szCs w:val="24"/>
          <w:lang w:val="bg-BG" w:eastAsia="en-US"/>
        </w:rPr>
        <w:t xml:space="preserve"> за 2021г</w:t>
      </w:r>
      <w:r w:rsidRPr="00E81A6E">
        <w:rPr>
          <w:rFonts w:ascii="Times New Roman" w:hAnsi="Times New Roman" w:cs="Times New Roman"/>
          <w:sz w:val="24"/>
          <w:szCs w:val="24"/>
          <w:lang w:val="bg-BG" w:eastAsia="en-US"/>
        </w:rPr>
        <w:t>.</w:t>
      </w:r>
    </w:p>
    <w:p w14:paraId="00622A04"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Със Закона за държавния бюджет на РБългария /ЗДБРБ/ за 20</w:t>
      </w:r>
      <w:r w:rsidR="00521FD0" w:rsidRPr="00E81A6E">
        <w:rPr>
          <w:rFonts w:ascii="Times New Roman" w:hAnsi="Times New Roman" w:cs="Times New Roman"/>
          <w:sz w:val="24"/>
          <w:szCs w:val="24"/>
          <w:lang w:val="ru-RU"/>
        </w:rPr>
        <w:t>2</w:t>
      </w:r>
      <w:r w:rsidR="00690CE7"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година се определят </w:t>
      </w:r>
      <w:r w:rsidR="00521FD0" w:rsidRPr="00E81A6E">
        <w:rPr>
          <w:rFonts w:ascii="Times New Roman" w:hAnsi="Times New Roman" w:cs="Times New Roman"/>
          <w:sz w:val="24"/>
          <w:szCs w:val="24"/>
          <w:lang w:val="ru-RU"/>
        </w:rPr>
        <w:t>субсидиите</w:t>
      </w:r>
      <w:r w:rsidR="00521228" w:rsidRPr="00E81A6E">
        <w:rPr>
          <w:rFonts w:ascii="Times New Roman" w:hAnsi="Times New Roman" w:cs="Times New Roman"/>
          <w:sz w:val="24"/>
          <w:szCs w:val="24"/>
          <w:lang w:val="ru-RU"/>
        </w:rPr>
        <w:t xml:space="preserve"> за общините</w:t>
      </w:r>
      <w:r w:rsidR="00521FD0" w:rsidRPr="00E81A6E">
        <w:rPr>
          <w:rFonts w:ascii="Times New Roman" w:hAnsi="Times New Roman" w:cs="Times New Roman"/>
          <w:sz w:val="24"/>
          <w:szCs w:val="24"/>
          <w:lang w:val="ru-RU"/>
        </w:rPr>
        <w:t xml:space="preserve">, както и натуралните и </w:t>
      </w:r>
      <w:r w:rsidRPr="00E81A6E">
        <w:rPr>
          <w:rFonts w:ascii="Times New Roman" w:hAnsi="Times New Roman" w:cs="Times New Roman"/>
          <w:sz w:val="24"/>
          <w:szCs w:val="24"/>
          <w:lang w:val="ru-RU"/>
        </w:rPr>
        <w:t>стойностни показатели за делегираните от държавата дейности</w:t>
      </w:r>
      <w:r w:rsidR="00521FD0" w:rsidRPr="00E81A6E">
        <w:rPr>
          <w:rFonts w:ascii="Times New Roman" w:hAnsi="Times New Roman" w:cs="Times New Roman"/>
          <w:sz w:val="24"/>
          <w:szCs w:val="24"/>
          <w:lang w:val="ru-RU"/>
        </w:rPr>
        <w:t xml:space="preserve"> по функции, в това число</w:t>
      </w:r>
      <w:r w:rsidR="00521228" w:rsidRPr="00E81A6E">
        <w:rPr>
          <w:rFonts w:ascii="Times New Roman" w:hAnsi="Times New Roman" w:cs="Times New Roman"/>
          <w:sz w:val="24"/>
          <w:szCs w:val="24"/>
          <w:lang w:val="ru-RU"/>
        </w:rPr>
        <w:t xml:space="preserve"> и</w:t>
      </w:r>
      <w:r w:rsidR="00521FD0" w:rsidRPr="00E81A6E">
        <w:rPr>
          <w:rFonts w:ascii="Times New Roman" w:hAnsi="Times New Roman" w:cs="Times New Roman"/>
          <w:sz w:val="24"/>
          <w:szCs w:val="24"/>
          <w:lang w:val="ru-RU"/>
        </w:rPr>
        <w:t xml:space="preserve"> за Столична община</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w:t>
      </w:r>
    </w:p>
    <w:p w14:paraId="50F292AD"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В бюджетните взаимоотношения между централния бюджет и бюджета на </w:t>
      </w:r>
      <w:r w:rsidRPr="00E81A6E">
        <w:rPr>
          <w:rFonts w:ascii="Times New Roman" w:hAnsi="Times New Roman" w:cs="Times New Roman"/>
          <w:sz w:val="24"/>
          <w:szCs w:val="24"/>
          <w:lang w:val="bg-BG"/>
        </w:rPr>
        <w:t>С</w:t>
      </w:r>
      <w:r w:rsidRPr="00E81A6E">
        <w:rPr>
          <w:rFonts w:ascii="Times New Roman" w:hAnsi="Times New Roman" w:cs="Times New Roman"/>
          <w:sz w:val="24"/>
          <w:szCs w:val="24"/>
          <w:lang w:val="ru-RU"/>
        </w:rPr>
        <w:t>толична община, предвидените средства за финансиране на делегираните от държавата дейности /обща субсидия/</w:t>
      </w:r>
      <w:r w:rsidRPr="00E81A6E">
        <w:rPr>
          <w:rFonts w:ascii="Times New Roman" w:hAnsi="Times New Roman" w:cs="Times New Roman"/>
          <w:sz w:val="24"/>
          <w:szCs w:val="24"/>
          <w:lang w:val="bg-BG"/>
        </w:rPr>
        <w:t xml:space="preserve"> за 20</w:t>
      </w:r>
      <w:r w:rsidR="00521FD0" w:rsidRPr="00E81A6E">
        <w:rPr>
          <w:rFonts w:ascii="Times New Roman" w:hAnsi="Times New Roman" w:cs="Times New Roman"/>
          <w:sz w:val="24"/>
          <w:szCs w:val="24"/>
          <w:lang w:val="bg-BG"/>
        </w:rPr>
        <w:t>2</w:t>
      </w:r>
      <w:r w:rsidR="00690CE7"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 xml:space="preserve"> година</w:t>
      </w:r>
      <w:r w:rsidRPr="00E81A6E">
        <w:rPr>
          <w:rFonts w:ascii="Times New Roman" w:hAnsi="Times New Roman" w:cs="Times New Roman"/>
          <w:sz w:val="24"/>
          <w:szCs w:val="24"/>
          <w:lang w:val="ru-RU"/>
        </w:rPr>
        <w:t xml:space="preserve"> са в размер на </w:t>
      </w:r>
      <w:r w:rsidR="00690CE7" w:rsidRPr="00E81A6E">
        <w:rPr>
          <w:rFonts w:ascii="Times New Roman" w:hAnsi="Times New Roman" w:cs="Times New Roman"/>
          <w:sz w:val="24"/>
          <w:szCs w:val="24"/>
          <w:lang w:val="ru-RU"/>
        </w:rPr>
        <w:t>652 005 134</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Спрямо разчетената със ЗДБРБ за 20</w:t>
      </w:r>
      <w:r w:rsidR="00690CE7" w:rsidRPr="00E81A6E">
        <w:rPr>
          <w:rFonts w:ascii="Times New Roman" w:hAnsi="Times New Roman" w:cs="Times New Roman"/>
          <w:sz w:val="24"/>
          <w:szCs w:val="24"/>
          <w:lang w:val="ru-RU"/>
        </w:rPr>
        <w:t>20</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общата субсидия е завишена с</w:t>
      </w:r>
      <w:r w:rsidR="00690CE7" w:rsidRPr="00E81A6E">
        <w:rPr>
          <w:rFonts w:ascii="Times New Roman" w:hAnsi="Times New Roman" w:cs="Times New Roman"/>
          <w:sz w:val="24"/>
          <w:szCs w:val="24"/>
          <w:lang w:val="ru-RU"/>
        </w:rPr>
        <w:t>ъс</w:t>
      </w:r>
      <w:r w:rsidRPr="00E81A6E">
        <w:rPr>
          <w:rFonts w:ascii="Times New Roman" w:hAnsi="Times New Roman" w:cs="Times New Roman"/>
          <w:sz w:val="24"/>
          <w:szCs w:val="24"/>
          <w:lang w:val="ru-RU"/>
        </w:rPr>
        <w:t xml:space="preserve"> </w:t>
      </w:r>
      <w:r w:rsidR="00690CE7" w:rsidRPr="00E81A6E">
        <w:rPr>
          <w:rFonts w:ascii="Times New Roman" w:hAnsi="Times New Roman" w:cs="Times New Roman"/>
          <w:sz w:val="24"/>
          <w:szCs w:val="24"/>
          <w:lang w:val="ru-RU"/>
        </w:rPr>
        <w:t>107</w:t>
      </w:r>
      <w:r w:rsidRPr="00E81A6E">
        <w:rPr>
          <w:rFonts w:ascii="Times New Roman" w:hAnsi="Times New Roman" w:cs="Times New Roman"/>
          <w:sz w:val="24"/>
          <w:szCs w:val="24"/>
          <w:lang w:val="ru-RU"/>
        </w:rPr>
        <w:t> </w:t>
      </w:r>
      <w:r w:rsidR="00690CE7" w:rsidRPr="00E81A6E">
        <w:rPr>
          <w:rFonts w:ascii="Times New Roman" w:hAnsi="Times New Roman" w:cs="Times New Roman"/>
          <w:sz w:val="24"/>
          <w:szCs w:val="24"/>
          <w:lang w:val="ru-RU"/>
        </w:rPr>
        <w:t>165</w:t>
      </w:r>
      <w:r w:rsidRPr="00E81A6E">
        <w:rPr>
          <w:rFonts w:ascii="Times New Roman" w:hAnsi="Times New Roman" w:cs="Times New Roman"/>
          <w:sz w:val="24"/>
          <w:szCs w:val="24"/>
          <w:lang w:val="ru-RU"/>
        </w:rPr>
        <w:t xml:space="preserve"> </w:t>
      </w:r>
      <w:r w:rsidR="00690CE7" w:rsidRPr="00E81A6E">
        <w:rPr>
          <w:rFonts w:ascii="Times New Roman" w:hAnsi="Times New Roman" w:cs="Times New Roman"/>
          <w:sz w:val="24"/>
          <w:szCs w:val="24"/>
          <w:lang w:val="ru-RU"/>
        </w:rPr>
        <w:t>850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eastAsia="en-US"/>
        </w:rPr>
        <w:t>лв.</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или 11</w:t>
      </w:r>
      <w:r w:rsidR="00690CE7" w:rsidRPr="00E81A6E">
        <w:rPr>
          <w:rFonts w:ascii="Times New Roman" w:hAnsi="Times New Roman" w:cs="Times New Roman"/>
          <w:sz w:val="24"/>
          <w:szCs w:val="24"/>
          <w:lang w:val="bg-BG"/>
        </w:rPr>
        <w:t>9</w:t>
      </w:r>
      <w:r w:rsidRPr="00E81A6E">
        <w:rPr>
          <w:rFonts w:ascii="Times New Roman" w:hAnsi="Times New Roman" w:cs="Times New Roman"/>
          <w:sz w:val="24"/>
          <w:szCs w:val="24"/>
          <w:lang w:val="bg-BG"/>
        </w:rPr>
        <w:t>,</w:t>
      </w:r>
      <w:r w:rsidR="00690CE7" w:rsidRPr="00E81A6E">
        <w:rPr>
          <w:rFonts w:ascii="Times New Roman" w:hAnsi="Times New Roman" w:cs="Times New Roman"/>
          <w:sz w:val="24"/>
          <w:szCs w:val="24"/>
          <w:lang w:val="bg-BG"/>
        </w:rPr>
        <w:t>6</w:t>
      </w:r>
      <w:r w:rsidR="003A6545" w:rsidRPr="00E81A6E">
        <w:rPr>
          <w:rFonts w:ascii="Times New Roman" w:hAnsi="Times New Roman" w:cs="Times New Roman"/>
          <w:sz w:val="24"/>
          <w:szCs w:val="24"/>
          <w:lang w:val="bg-BG"/>
        </w:rPr>
        <w:t>7</w:t>
      </w:r>
      <w:r w:rsidRPr="00E81A6E">
        <w:rPr>
          <w:rFonts w:ascii="Times New Roman" w:hAnsi="Times New Roman" w:cs="Times New Roman"/>
          <w:sz w:val="24"/>
          <w:szCs w:val="24"/>
          <w:lang w:val="ru-RU"/>
        </w:rPr>
        <w:t xml:space="preserve"> на сто</w:t>
      </w:r>
      <w:r w:rsidRPr="00E81A6E">
        <w:rPr>
          <w:rFonts w:ascii="Times New Roman" w:hAnsi="Times New Roman" w:cs="Times New Roman"/>
          <w:sz w:val="24"/>
          <w:szCs w:val="24"/>
          <w:lang w:val="bg-BG"/>
        </w:rPr>
        <w:t>.</w:t>
      </w:r>
    </w:p>
    <w:p w14:paraId="04F1CBAC" w14:textId="77777777" w:rsidR="00690CE7"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разработването на проектобюджета на Столична община, средствата за финансиране на делегираните от държавата дейн</w:t>
      </w:r>
      <w:r w:rsidRPr="00E81A6E">
        <w:rPr>
          <w:rFonts w:ascii="Times New Roman" w:hAnsi="Times New Roman" w:cs="Times New Roman"/>
          <w:sz w:val="24"/>
          <w:szCs w:val="24"/>
          <w:lang w:val="bg-BG"/>
        </w:rPr>
        <w:t>о</w:t>
      </w:r>
      <w:r w:rsidRPr="00E81A6E">
        <w:rPr>
          <w:rFonts w:ascii="Times New Roman" w:hAnsi="Times New Roman" w:cs="Times New Roman"/>
          <w:sz w:val="24"/>
          <w:szCs w:val="24"/>
          <w:lang w:val="ru-RU"/>
        </w:rPr>
        <w:t>сти са определени по функции и дейности, съгласно Единната бюджетна класификация, в размер не по-малко от предвидените със ЗДБРБ за 20</w:t>
      </w:r>
      <w:r w:rsidR="00FC0E1E" w:rsidRPr="00E81A6E">
        <w:rPr>
          <w:rFonts w:ascii="Times New Roman" w:hAnsi="Times New Roman" w:cs="Times New Roman"/>
          <w:sz w:val="24"/>
          <w:szCs w:val="24"/>
          <w:lang w:val="ru-RU"/>
        </w:rPr>
        <w:t>2</w:t>
      </w:r>
      <w:r w:rsidR="00690CE7"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г.</w:t>
      </w:r>
    </w:p>
    <w:p w14:paraId="4B1F38A9"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07CD878F"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72D63C75"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1FDA4799"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13F96C10" w14:textId="77777777" w:rsidR="00690CE7"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lastRenderedPageBreak/>
        <w:t>Таблица:</w:t>
      </w:r>
      <w:r w:rsidRPr="00E81A6E">
        <w:rPr>
          <w:rFonts w:ascii="Times New Roman" w:hAnsi="Times New Roman" w:cs="Times New Roman"/>
          <w:sz w:val="24"/>
          <w:szCs w:val="24"/>
          <w:lang w:val="ru-RU"/>
        </w:rPr>
        <w:t xml:space="preserve"> Взаимоотношения на СО с централния бюджет за 20</w:t>
      </w:r>
      <w:r w:rsidR="00FC0E1E" w:rsidRPr="00E81A6E">
        <w:rPr>
          <w:rFonts w:ascii="Times New Roman" w:hAnsi="Times New Roman" w:cs="Times New Roman"/>
          <w:sz w:val="24"/>
          <w:szCs w:val="24"/>
          <w:lang w:val="ru-RU"/>
        </w:rPr>
        <w:t>2</w:t>
      </w:r>
      <w:r w:rsidR="00690CE7"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г., сравнени с 20</w:t>
      </w:r>
      <w:r w:rsidR="00690CE7"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w:t>
      </w:r>
    </w:p>
    <w:p w14:paraId="62B34D1F" w14:textId="77777777" w:rsidR="00A122F8" w:rsidRPr="00E81A6E" w:rsidRDefault="00A122F8" w:rsidP="00F55B06">
      <w:pPr>
        <w:spacing w:after="0" w:line="240" w:lineRule="auto"/>
        <w:ind w:firstLine="720"/>
        <w:contextualSpacing/>
        <w:jc w:val="both"/>
        <w:rPr>
          <w:rFonts w:ascii="Times New Roman" w:hAnsi="Times New Roman" w:cs="Times New Roman"/>
          <w:sz w:val="24"/>
          <w:szCs w:val="24"/>
          <w:lang w:val="ru-RU"/>
        </w:rPr>
      </w:pPr>
    </w:p>
    <w:p w14:paraId="13A277A7" w14:textId="77777777" w:rsidR="006F5B92" w:rsidRPr="00E81A6E" w:rsidRDefault="00690CE7" w:rsidP="00A122F8">
      <w:p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noProof/>
          <w:sz w:val="24"/>
          <w:szCs w:val="24"/>
          <w:lang w:val="bg-BG" w:eastAsia="bg-BG"/>
        </w:rPr>
        <w:drawing>
          <wp:inline distT="0" distB="0" distL="0" distR="0" wp14:anchorId="274BD1A6" wp14:editId="22B68BB9">
            <wp:extent cx="6121400" cy="26523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0" cy="2652314"/>
                    </a:xfrm>
                    <a:prstGeom prst="rect">
                      <a:avLst/>
                    </a:prstGeom>
                    <a:noFill/>
                    <a:ln>
                      <a:noFill/>
                    </a:ln>
                  </pic:spPr>
                </pic:pic>
              </a:graphicData>
            </a:graphic>
          </wp:inline>
        </w:drawing>
      </w:r>
    </w:p>
    <w:p w14:paraId="5AD50FE4" w14:textId="77777777" w:rsidR="009242DF" w:rsidRPr="00E81A6E" w:rsidRDefault="009242DF" w:rsidP="00F55B06">
      <w:pPr>
        <w:spacing w:after="0" w:line="240" w:lineRule="auto"/>
        <w:ind w:firstLine="720"/>
        <w:contextualSpacing/>
        <w:jc w:val="both"/>
        <w:rPr>
          <w:rFonts w:ascii="Times New Roman" w:hAnsi="Times New Roman" w:cs="Times New Roman"/>
          <w:sz w:val="24"/>
          <w:szCs w:val="24"/>
          <w:lang w:val="ru-RU"/>
        </w:rPr>
      </w:pPr>
    </w:p>
    <w:p w14:paraId="3ACF8FF2"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Със ЗДБРБ за 20</w:t>
      </w:r>
      <w:r w:rsidR="00D71629" w:rsidRPr="00E81A6E">
        <w:rPr>
          <w:rFonts w:ascii="Times New Roman" w:hAnsi="Times New Roman" w:cs="Times New Roman"/>
          <w:sz w:val="24"/>
          <w:szCs w:val="24"/>
          <w:lang w:val="ru-RU"/>
        </w:rPr>
        <w:t>2</w:t>
      </w:r>
      <w:r w:rsidR="00DC769C"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г. не се предвижда изравнителна субсидия за </w:t>
      </w:r>
      <w:r w:rsidR="00DC769C" w:rsidRPr="00E81A6E">
        <w:rPr>
          <w:rFonts w:ascii="Times New Roman" w:hAnsi="Times New Roman" w:cs="Times New Roman"/>
          <w:sz w:val="24"/>
          <w:szCs w:val="24"/>
          <w:lang w:val="ru-RU"/>
        </w:rPr>
        <w:t>Столична община</w:t>
      </w:r>
      <w:r w:rsidRPr="00E81A6E">
        <w:rPr>
          <w:rFonts w:ascii="Times New Roman" w:hAnsi="Times New Roman" w:cs="Times New Roman"/>
          <w:sz w:val="24"/>
          <w:szCs w:val="24"/>
          <w:lang w:val="ru-RU"/>
        </w:rPr>
        <w:t xml:space="preserve">. Съгласно </w:t>
      </w:r>
      <w:r w:rsidR="00D80EF7" w:rsidRPr="00E81A6E">
        <w:rPr>
          <w:rFonts w:ascii="Times New Roman" w:hAnsi="Times New Roman" w:cs="Times New Roman"/>
          <w:sz w:val="24"/>
          <w:szCs w:val="24"/>
          <w:lang w:val="ru-RU"/>
        </w:rPr>
        <w:t>М</w:t>
      </w:r>
      <w:r w:rsidRPr="00E81A6E">
        <w:rPr>
          <w:rFonts w:ascii="Times New Roman" w:hAnsi="Times New Roman" w:cs="Times New Roman"/>
          <w:sz w:val="24"/>
          <w:szCs w:val="24"/>
          <w:lang w:val="ru-RU"/>
        </w:rPr>
        <w:t xml:space="preserve">етодиката за определяне на тази субсидия </w:t>
      </w:r>
      <w:r w:rsidR="00D71629" w:rsidRPr="00E81A6E">
        <w:rPr>
          <w:rFonts w:ascii="Times New Roman" w:hAnsi="Times New Roman" w:cs="Times New Roman"/>
          <w:sz w:val="24"/>
          <w:szCs w:val="24"/>
          <w:lang w:val="ru-RU"/>
        </w:rPr>
        <w:t>общин</w:t>
      </w:r>
      <w:r w:rsidR="00D80EF7" w:rsidRPr="00E81A6E">
        <w:rPr>
          <w:rFonts w:ascii="Times New Roman" w:hAnsi="Times New Roman" w:cs="Times New Roman"/>
          <w:sz w:val="24"/>
          <w:szCs w:val="24"/>
          <w:lang w:val="ru-RU"/>
        </w:rPr>
        <w:t xml:space="preserve">ата реализира собствени приходи, </w:t>
      </w:r>
      <w:r w:rsidRPr="00E81A6E">
        <w:rPr>
          <w:rFonts w:ascii="Times New Roman" w:hAnsi="Times New Roman" w:cs="Times New Roman"/>
          <w:sz w:val="24"/>
          <w:szCs w:val="24"/>
          <w:lang w:val="ru-RU"/>
        </w:rPr>
        <w:t>надвишава</w:t>
      </w:r>
      <w:r w:rsidR="00D80EF7" w:rsidRPr="00E81A6E">
        <w:rPr>
          <w:rFonts w:ascii="Times New Roman" w:hAnsi="Times New Roman" w:cs="Times New Roman"/>
          <w:sz w:val="24"/>
          <w:szCs w:val="24"/>
          <w:lang w:val="ru-RU"/>
        </w:rPr>
        <w:t>щи</w:t>
      </w:r>
      <w:r w:rsidRPr="00E81A6E">
        <w:rPr>
          <w:rFonts w:ascii="Times New Roman" w:hAnsi="Times New Roman" w:cs="Times New Roman"/>
          <w:sz w:val="24"/>
          <w:szCs w:val="24"/>
          <w:lang w:val="ru-RU"/>
        </w:rPr>
        <w:t xml:space="preserve"> с повече от 20 на сто средните за страната на човек от населението</w:t>
      </w:r>
      <w:r w:rsidR="00D80EF7" w:rsidRPr="00E81A6E">
        <w:rPr>
          <w:rFonts w:ascii="Times New Roman" w:hAnsi="Times New Roman" w:cs="Times New Roman"/>
          <w:sz w:val="24"/>
          <w:szCs w:val="24"/>
          <w:lang w:val="ru-RU"/>
        </w:rPr>
        <w:t xml:space="preserve"> и не получава</w:t>
      </w:r>
      <w:r w:rsidR="00DC769C" w:rsidRPr="00E81A6E">
        <w:rPr>
          <w:rFonts w:ascii="Times New Roman" w:hAnsi="Times New Roman" w:cs="Times New Roman"/>
          <w:sz w:val="24"/>
          <w:szCs w:val="24"/>
          <w:lang w:val="ru-RU"/>
        </w:rPr>
        <w:t xml:space="preserve"> изравнителна субсидия за допълване на местните дейности</w:t>
      </w:r>
      <w:r w:rsidR="00166CFC" w:rsidRPr="00E81A6E">
        <w:rPr>
          <w:rFonts w:ascii="Times New Roman" w:hAnsi="Times New Roman" w:cs="Times New Roman"/>
          <w:sz w:val="24"/>
          <w:szCs w:val="24"/>
          <w:lang w:val="ru-RU"/>
        </w:rPr>
        <w:t>.</w:t>
      </w:r>
      <w:r w:rsidR="00166CFC" w:rsidRPr="00E81A6E">
        <w:rPr>
          <w:rFonts w:ascii="Times New Roman" w:hAnsi="Times New Roman" w:cs="Times New Roman"/>
          <w:sz w:val="24"/>
          <w:szCs w:val="24"/>
          <w:lang w:val="ru-RU"/>
        </w:rPr>
        <w:tab/>
      </w:r>
      <w:r w:rsidR="00166CFC" w:rsidRPr="00E81A6E">
        <w:rPr>
          <w:rFonts w:ascii="Times New Roman" w:hAnsi="Times New Roman" w:cs="Times New Roman"/>
          <w:sz w:val="24"/>
          <w:szCs w:val="24"/>
          <w:lang w:val="ru-RU"/>
        </w:rPr>
        <w:tab/>
      </w:r>
      <w:r w:rsidR="00166CFC" w:rsidRPr="00E81A6E">
        <w:rPr>
          <w:rFonts w:ascii="Times New Roman" w:hAnsi="Times New Roman" w:cs="Times New Roman"/>
          <w:sz w:val="24"/>
          <w:szCs w:val="24"/>
          <w:lang w:val="ru-RU"/>
        </w:rPr>
        <w:tab/>
      </w:r>
      <w:r w:rsidRPr="00E81A6E">
        <w:rPr>
          <w:rFonts w:ascii="Times New Roman" w:hAnsi="Times New Roman" w:cs="Times New Roman"/>
          <w:sz w:val="24"/>
          <w:szCs w:val="24"/>
          <w:lang w:val="ru-RU"/>
        </w:rPr>
        <w:tab/>
      </w:r>
      <w:r w:rsidRPr="00E81A6E">
        <w:rPr>
          <w:rFonts w:ascii="Times New Roman" w:hAnsi="Times New Roman" w:cs="Times New Roman"/>
          <w:sz w:val="24"/>
          <w:szCs w:val="24"/>
          <w:lang w:val="ru-RU"/>
        </w:rPr>
        <w:tab/>
      </w:r>
      <w:r w:rsidRPr="00E81A6E">
        <w:rPr>
          <w:rFonts w:ascii="Times New Roman" w:hAnsi="Times New Roman" w:cs="Times New Roman"/>
          <w:sz w:val="24"/>
          <w:szCs w:val="24"/>
          <w:lang w:val="ru-RU"/>
        </w:rPr>
        <w:tab/>
      </w:r>
      <w:r w:rsidRPr="00E81A6E">
        <w:rPr>
          <w:rFonts w:ascii="Times New Roman" w:hAnsi="Times New Roman" w:cs="Times New Roman"/>
          <w:sz w:val="24"/>
          <w:szCs w:val="24"/>
          <w:lang w:val="ru-RU"/>
        </w:rPr>
        <w:tab/>
      </w:r>
    </w:p>
    <w:p w14:paraId="47D202E4"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 проекта за бюджет, в частта му за </w:t>
      </w:r>
      <w:r w:rsidRPr="00E81A6E">
        <w:rPr>
          <w:rFonts w:ascii="Times New Roman" w:hAnsi="Times New Roman" w:cs="Times New Roman"/>
          <w:b/>
          <w:bCs/>
          <w:sz w:val="24"/>
          <w:szCs w:val="24"/>
          <w:lang w:val="ru-RU"/>
        </w:rPr>
        <w:t>местни приходи,</w:t>
      </w:r>
      <w:r w:rsidRPr="00E81A6E">
        <w:rPr>
          <w:rFonts w:ascii="Times New Roman" w:hAnsi="Times New Roman" w:cs="Times New Roman"/>
          <w:sz w:val="24"/>
          <w:szCs w:val="24"/>
          <w:lang w:val="ru-RU"/>
        </w:rPr>
        <w:t xml:space="preserve"> са заложени като прогноза постъпленията от местни данъци и такси, цените на предоставяните публични услуги на населението, наемите от отдадените под наем общински имоти, приходите от продажба на общинско имущество и други. Техният размер е определен </w:t>
      </w:r>
      <w:r w:rsidR="00D71629" w:rsidRPr="00E81A6E">
        <w:rPr>
          <w:rFonts w:ascii="Times New Roman" w:hAnsi="Times New Roman" w:cs="Times New Roman"/>
          <w:sz w:val="24"/>
          <w:szCs w:val="24"/>
          <w:lang w:val="ru-RU"/>
        </w:rPr>
        <w:t>на база</w:t>
      </w:r>
      <w:r w:rsidRPr="00E81A6E">
        <w:rPr>
          <w:rFonts w:ascii="Times New Roman" w:hAnsi="Times New Roman" w:cs="Times New Roman"/>
          <w:sz w:val="24"/>
          <w:szCs w:val="24"/>
          <w:lang w:val="ru-RU"/>
        </w:rPr>
        <w:t xml:space="preserve"> извършен анализ на изпълнението на същите </w:t>
      </w:r>
      <w:r w:rsidRPr="00E81A6E">
        <w:rPr>
          <w:rFonts w:ascii="Times New Roman" w:hAnsi="Times New Roman" w:cs="Times New Roman"/>
          <w:sz w:val="24"/>
          <w:szCs w:val="24"/>
          <w:lang w:val="bg-BG"/>
        </w:rPr>
        <w:t>през предходната година</w:t>
      </w:r>
      <w:r w:rsidRPr="00E81A6E">
        <w:rPr>
          <w:rFonts w:ascii="Times New Roman" w:hAnsi="Times New Roman" w:cs="Times New Roman"/>
          <w:sz w:val="24"/>
          <w:szCs w:val="24"/>
          <w:lang w:val="ru-RU"/>
        </w:rPr>
        <w:t>, тенденциите в развитието на икономиката</w:t>
      </w:r>
      <w:r w:rsidR="00521228" w:rsidRPr="00E81A6E">
        <w:rPr>
          <w:rFonts w:ascii="Times New Roman" w:hAnsi="Times New Roman" w:cs="Times New Roman"/>
          <w:sz w:val="24"/>
          <w:szCs w:val="24"/>
          <w:lang w:val="ru-RU"/>
        </w:rPr>
        <w:t xml:space="preserve"> в условия на пандемия</w:t>
      </w:r>
      <w:r w:rsidRPr="00E81A6E">
        <w:rPr>
          <w:rFonts w:ascii="Times New Roman" w:hAnsi="Times New Roman" w:cs="Times New Roman"/>
          <w:sz w:val="24"/>
          <w:szCs w:val="24"/>
          <w:lang w:val="ru-RU"/>
        </w:rPr>
        <w:t>, както и нормативните промени.</w:t>
      </w:r>
    </w:p>
    <w:p w14:paraId="5EC5C5B5" w14:textId="77777777" w:rsidR="00F52677" w:rsidRPr="00E81A6E" w:rsidRDefault="00F52677" w:rsidP="00F55B06">
      <w:pPr>
        <w:spacing w:after="0" w:line="240" w:lineRule="auto"/>
        <w:ind w:firstLine="720"/>
        <w:contextualSpacing/>
        <w:jc w:val="both"/>
        <w:rPr>
          <w:rFonts w:ascii="Times New Roman" w:hAnsi="Times New Roman" w:cs="Times New Roman"/>
          <w:sz w:val="24"/>
          <w:szCs w:val="24"/>
          <w:lang w:val="ru-RU"/>
        </w:rPr>
      </w:pPr>
    </w:p>
    <w:p w14:paraId="643EABA2" w14:textId="77777777" w:rsidR="006F5B92" w:rsidRPr="00E81A6E" w:rsidRDefault="006F5B92" w:rsidP="00F55B06">
      <w:pPr>
        <w:pStyle w:val="Heading3"/>
        <w:spacing w:before="0"/>
        <w:ind w:firstLine="720"/>
        <w:contextualSpacing/>
        <w:rPr>
          <w:rFonts w:ascii="Times New Roman" w:hAnsi="Times New Roman" w:cs="Times New Roman"/>
          <w:color w:val="auto"/>
          <w:sz w:val="24"/>
          <w:szCs w:val="24"/>
          <w:lang w:val="ru-RU"/>
        </w:rPr>
      </w:pPr>
      <w:bookmarkStart w:id="50" w:name="_Toc409874547"/>
      <w:bookmarkStart w:id="51" w:name="_Toc499639776"/>
      <w:bookmarkStart w:id="52" w:name="_Toc500496072"/>
      <w:bookmarkStart w:id="53" w:name="_Toc500496418"/>
      <w:bookmarkStart w:id="54" w:name="_Toc503629617"/>
      <w:bookmarkStart w:id="55" w:name="_Toc61971771"/>
      <w:r w:rsidRPr="00E81A6E">
        <w:rPr>
          <w:rFonts w:ascii="Times New Roman" w:hAnsi="Times New Roman" w:cs="Times New Roman"/>
          <w:color w:val="auto"/>
          <w:sz w:val="24"/>
          <w:szCs w:val="24"/>
          <w:lang w:val="ru-RU"/>
        </w:rPr>
        <w:t>ИМУЩЕСТВЕНИ ДАНЪЦИ И НЕДАНЪЧНИ ПРИХОДИ</w:t>
      </w:r>
      <w:bookmarkEnd w:id="50"/>
      <w:bookmarkEnd w:id="51"/>
      <w:bookmarkEnd w:id="52"/>
      <w:bookmarkEnd w:id="53"/>
      <w:bookmarkEnd w:id="54"/>
      <w:bookmarkEnd w:id="55"/>
      <w:r w:rsidR="00B26384" w:rsidRPr="00E81A6E">
        <w:rPr>
          <w:rFonts w:ascii="Times New Roman" w:hAnsi="Times New Roman" w:cs="Times New Roman"/>
          <w:color w:val="auto"/>
          <w:sz w:val="24"/>
          <w:szCs w:val="24"/>
          <w:lang w:val="ru-RU"/>
        </w:rPr>
        <w:t xml:space="preserve"> </w:t>
      </w:r>
    </w:p>
    <w:tbl>
      <w:tblPr>
        <w:tblStyle w:val="GridTable1Light1"/>
        <w:tblW w:w="4635" w:type="pct"/>
        <w:tblInd w:w="2" w:type="dxa"/>
        <w:tblLook w:val="0020" w:firstRow="1" w:lastRow="0" w:firstColumn="0" w:lastColumn="0" w:noHBand="0" w:noVBand="0"/>
      </w:tblPr>
      <w:tblGrid>
        <w:gridCol w:w="6320"/>
        <w:gridCol w:w="2607"/>
      </w:tblGrid>
      <w:tr w:rsidR="00882664" w:rsidRPr="00E81A6E" w14:paraId="316AD9FD" w14:textId="77777777" w:rsidTr="00797FDB">
        <w:tc>
          <w:tcPr>
            <w:tcW w:w="3540" w:type="pct"/>
          </w:tcPr>
          <w:p w14:paraId="534B61DB" w14:textId="77777777" w:rsidR="006F5B92" w:rsidRPr="00E81A6E" w:rsidRDefault="006F5B92" w:rsidP="00F55B06">
            <w:pPr>
              <w:shd w:val="clear" w:color="auto" w:fill="FFFFFF"/>
              <w:spacing w:after="0" w:line="240" w:lineRule="auto"/>
              <w:ind w:firstLine="720"/>
              <w:contextualSpacing/>
              <w:jc w:val="both"/>
              <w:rPr>
                <w:rFonts w:cs="Times New Roman"/>
                <w:b/>
                <w:bCs/>
                <w:caps/>
                <w:sz w:val="24"/>
                <w:szCs w:val="24"/>
                <w:lang w:val="bg-BG"/>
              </w:rPr>
            </w:pPr>
            <w:r w:rsidRPr="00E81A6E">
              <w:rPr>
                <w:rFonts w:cs="Times New Roman"/>
                <w:b/>
                <w:bCs/>
                <w:sz w:val="24"/>
                <w:szCs w:val="24"/>
              </w:rPr>
              <w:t>Собствени бюджетни приходи</w:t>
            </w:r>
            <w:r w:rsidR="00797FDB" w:rsidRPr="00E81A6E">
              <w:rPr>
                <w:rFonts w:cs="Times New Roman"/>
                <w:b/>
                <w:bCs/>
                <w:sz w:val="24"/>
                <w:szCs w:val="24"/>
                <w:lang w:val="bg-BG"/>
              </w:rPr>
              <w:t xml:space="preserve"> вкл:</w:t>
            </w:r>
          </w:p>
        </w:tc>
        <w:tc>
          <w:tcPr>
            <w:tcW w:w="1460" w:type="pct"/>
          </w:tcPr>
          <w:p w14:paraId="0DF60001" w14:textId="77777777" w:rsidR="006F5B92" w:rsidRPr="00E81A6E" w:rsidRDefault="006F5B92" w:rsidP="00F55B06">
            <w:pPr>
              <w:shd w:val="clear" w:color="auto" w:fill="FFFFFF"/>
              <w:spacing w:after="0" w:line="240" w:lineRule="auto"/>
              <w:ind w:firstLine="720"/>
              <w:contextualSpacing/>
              <w:jc w:val="right"/>
              <w:rPr>
                <w:rFonts w:cs="Times New Roman"/>
                <w:b/>
                <w:bCs/>
                <w:caps/>
                <w:sz w:val="24"/>
                <w:szCs w:val="24"/>
              </w:rPr>
            </w:pPr>
            <w:r w:rsidRPr="00E81A6E">
              <w:rPr>
                <w:rFonts w:cs="Times New Roman"/>
                <w:b/>
                <w:bCs/>
                <w:caps/>
                <w:sz w:val="24"/>
                <w:szCs w:val="24"/>
              </w:rPr>
              <w:t>7</w:t>
            </w:r>
            <w:r w:rsidR="00166CFC" w:rsidRPr="00E81A6E">
              <w:rPr>
                <w:rFonts w:cs="Times New Roman"/>
                <w:b/>
                <w:bCs/>
                <w:caps/>
                <w:sz w:val="24"/>
                <w:szCs w:val="24"/>
              </w:rPr>
              <w:t>7</w:t>
            </w:r>
            <w:r w:rsidR="003D6201" w:rsidRPr="00E81A6E">
              <w:rPr>
                <w:rFonts w:cs="Times New Roman"/>
                <w:b/>
                <w:bCs/>
                <w:caps/>
                <w:sz w:val="24"/>
                <w:szCs w:val="24"/>
                <w:lang w:val="bg-BG"/>
              </w:rPr>
              <w:t>1</w:t>
            </w:r>
            <w:r w:rsidRPr="00E81A6E">
              <w:rPr>
                <w:rFonts w:cs="Times New Roman"/>
                <w:b/>
                <w:bCs/>
                <w:caps/>
                <w:sz w:val="24"/>
                <w:szCs w:val="24"/>
              </w:rPr>
              <w:t>,</w:t>
            </w:r>
            <w:r w:rsidR="003D6201" w:rsidRPr="00E81A6E">
              <w:rPr>
                <w:rFonts w:cs="Times New Roman"/>
                <w:b/>
                <w:bCs/>
                <w:caps/>
                <w:sz w:val="24"/>
                <w:szCs w:val="24"/>
                <w:lang w:val="bg-BG"/>
              </w:rPr>
              <w:t>4</w:t>
            </w:r>
            <w:r w:rsidR="00D80EF7" w:rsidRPr="00E81A6E">
              <w:rPr>
                <w:rFonts w:cs="Times New Roman"/>
                <w:b/>
                <w:bCs/>
                <w:caps/>
                <w:sz w:val="24"/>
                <w:szCs w:val="24"/>
                <w:lang w:val="bg-BG"/>
              </w:rPr>
              <w:t>26</w:t>
            </w:r>
            <w:r w:rsidRPr="00E81A6E">
              <w:rPr>
                <w:rFonts w:cs="Times New Roman"/>
                <w:b/>
                <w:bCs/>
                <w:caps/>
                <w:sz w:val="24"/>
                <w:szCs w:val="24"/>
              </w:rPr>
              <w:t>,</w:t>
            </w:r>
            <w:r w:rsidR="00D80EF7" w:rsidRPr="00E81A6E">
              <w:rPr>
                <w:rFonts w:cs="Times New Roman"/>
                <w:b/>
                <w:bCs/>
                <w:caps/>
                <w:sz w:val="24"/>
                <w:szCs w:val="24"/>
                <w:lang w:val="bg-BG"/>
              </w:rPr>
              <w:t>4</w:t>
            </w:r>
            <w:r w:rsidRPr="00E81A6E">
              <w:rPr>
                <w:rFonts w:cs="Times New Roman"/>
                <w:b/>
                <w:bCs/>
                <w:caps/>
                <w:sz w:val="24"/>
                <w:szCs w:val="24"/>
                <w:lang w:val="bg-BG"/>
              </w:rPr>
              <w:t>00</w:t>
            </w:r>
            <w:r w:rsidRPr="00E81A6E">
              <w:rPr>
                <w:rFonts w:cs="Times New Roman"/>
                <w:b/>
                <w:bCs/>
                <w:caps/>
                <w:sz w:val="24"/>
                <w:szCs w:val="24"/>
              </w:rPr>
              <w:t xml:space="preserve"> </w:t>
            </w:r>
          </w:p>
        </w:tc>
      </w:tr>
      <w:tr w:rsidR="00882664" w:rsidRPr="00E81A6E" w14:paraId="6E411547" w14:textId="77777777" w:rsidTr="00797FDB">
        <w:tc>
          <w:tcPr>
            <w:tcW w:w="3540" w:type="pct"/>
          </w:tcPr>
          <w:p w14:paraId="6B399E84" w14:textId="77777777" w:rsidR="006F5B92" w:rsidRPr="00E81A6E" w:rsidRDefault="006F5B92" w:rsidP="00350B12">
            <w:pPr>
              <w:pStyle w:val="ListParagraph"/>
              <w:numPr>
                <w:ilvl w:val="0"/>
                <w:numId w:val="7"/>
              </w:numPr>
              <w:shd w:val="clear" w:color="auto" w:fill="FFFFFF"/>
              <w:spacing w:after="0" w:line="240" w:lineRule="auto"/>
              <w:contextualSpacing/>
              <w:jc w:val="both"/>
              <w:rPr>
                <w:rFonts w:cs="Times New Roman"/>
                <w:b/>
                <w:bCs/>
                <w:caps/>
                <w:sz w:val="24"/>
                <w:szCs w:val="24"/>
              </w:rPr>
            </w:pPr>
            <w:r w:rsidRPr="00E81A6E">
              <w:rPr>
                <w:rFonts w:cs="Times New Roman"/>
                <w:sz w:val="24"/>
                <w:szCs w:val="24"/>
              </w:rPr>
              <w:t xml:space="preserve">Данъчни приходи </w:t>
            </w:r>
          </w:p>
        </w:tc>
        <w:tc>
          <w:tcPr>
            <w:tcW w:w="1460" w:type="pct"/>
          </w:tcPr>
          <w:p w14:paraId="1C832577" w14:textId="77777777" w:rsidR="006F5B92" w:rsidRPr="00E81A6E" w:rsidRDefault="006F5B92" w:rsidP="00F55B06">
            <w:pPr>
              <w:shd w:val="clear" w:color="auto" w:fill="FFFFFF"/>
              <w:spacing w:after="0" w:line="240" w:lineRule="auto"/>
              <w:ind w:firstLine="720"/>
              <w:contextualSpacing/>
              <w:jc w:val="right"/>
              <w:rPr>
                <w:rFonts w:cs="Times New Roman"/>
                <w:sz w:val="24"/>
                <w:szCs w:val="24"/>
              </w:rPr>
            </w:pPr>
            <w:r w:rsidRPr="00E81A6E">
              <w:rPr>
                <w:rFonts w:cs="Times New Roman"/>
                <w:sz w:val="24"/>
                <w:szCs w:val="24"/>
                <w:lang w:val="bg-BG"/>
              </w:rPr>
              <w:t>3</w:t>
            </w:r>
            <w:r w:rsidR="00166CFC" w:rsidRPr="00E81A6E">
              <w:rPr>
                <w:rFonts w:cs="Times New Roman"/>
                <w:sz w:val="24"/>
                <w:szCs w:val="24"/>
              </w:rPr>
              <w:t>9</w:t>
            </w:r>
            <w:r w:rsidR="003D6201" w:rsidRPr="00E81A6E">
              <w:rPr>
                <w:rFonts w:cs="Times New Roman"/>
                <w:sz w:val="24"/>
                <w:szCs w:val="24"/>
                <w:lang w:val="bg-BG"/>
              </w:rPr>
              <w:t>2</w:t>
            </w:r>
            <w:r w:rsidRPr="00E81A6E">
              <w:rPr>
                <w:rFonts w:cs="Times New Roman"/>
                <w:sz w:val="24"/>
                <w:szCs w:val="24"/>
              </w:rPr>
              <w:t>,</w:t>
            </w:r>
            <w:r w:rsidR="003D6201" w:rsidRPr="00E81A6E">
              <w:rPr>
                <w:rFonts w:cs="Times New Roman"/>
                <w:sz w:val="24"/>
                <w:szCs w:val="24"/>
                <w:lang w:val="bg-BG"/>
              </w:rPr>
              <w:t>2</w:t>
            </w:r>
            <w:r w:rsidR="00166CFC" w:rsidRPr="00E81A6E">
              <w:rPr>
                <w:rFonts w:cs="Times New Roman"/>
                <w:sz w:val="24"/>
                <w:szCs w:val="24"/>
              </w:rPr>
              <w:t>70</w:t>
            </w:r>
            <w:r w:rsidRPr="00E81A6E">
              <w:rPr>
                <w:rFonts w:cs="Times New Roman"/>
                <w:sz w:val="24"/>
                <w:szCs w:val="24"/>
              </w:rPr>
              <w:t>,000</w:t>
            </w:r>
          </w:p>
        </w:tc>
      </w:tr>
      <w:tr w:rsidR="00882664" w:rsidRPr="00E81A6E" w14:paraId="4A6F8E7F" w14:textId="77777777" w:rsidTr="00797FDB">
        <w:tc>
          <w:tcPr>
            <w:tcW w:w="3540" w:type="pct"/>
          </w:tcPr>
          <w:p w14:paraId="51DA36D5" w14:textId="77777777" w:rsidR="006F5B92" w:rsidRPr="00E81A6E" w:rsidRDefault="006F5B92" w:rsidP="00350B12">
            <w:pPr>
              <w:pStyle w:val="ListParagraph"/>
              <w:numPr>
                <w:ilvl w:val="0"/>
                <w:numId w:val="7"/>
              </w:numPr>
              <w:shd w:val="clear" w:color="auto" w:fill="FFFFFF"/>
              <w:spacing w:after="0" w:line="240" w:lineRule="auto"/>
              <w:contextualSpacing/>
              <w:jc w:val="both"/>
              <w:rPr>
                <w:rFonts w:cs="Times New Roman"/>
                <w:b/>
                <w:bCs/>
                <w:caps/>
                <w:sz w:val="24"/>
                <w:szCs w:val="24"/>
              </w:rPr>
            </w:pPr>
            <w:r w:rsidRPr="00E81A6E">
              <w:rPr>
                <w:rFonts w:cs="Times New Roman"/>
                <w:sz w:val="24"/>
                <w:szCs w:val="24"/>
              </w:rPr>
              <w:t>Неданъчни приходи</w:t>
            </w:r>
          </w:p>
        </w:tc>
        <w:tc>
          <w:tcPr>
            <w:tcW w:w="1460" w:type="pct"/>
          </w:tcPr>
          <w:p w14:paraId="3B7674E7" w14:textId="77777777" w:rsidR="006F5B92" w:rsidRPr="00E81A6E" w:rsidRDefault="006F5B92" w:rsidP="00F55B06">
            <w:pPr>
              <w:shd w:val="clear" w:color="auto" w:fill="FFFFFF"/>
              <w:spacing w:after="0" w:line="240" w:lineRule="auto"/>
              <w:ind w:firstLine="720"/>
              <w:contextualSpacing/>
              <w:jc w:val="right"/>
              <w:rPr>
                <w:rFonts w:cs="Times New Roman"/>
                <w:sz w:val="24"/>
                <w:szCs w:val="24"/>
              </w:rPr>
            </w:pPr>
            <w:r w:rsidRPr="00E81A6E">
              <w:rPr>
                <w:rFonts w:cs="Times New Roman"/>
                <w:sz w:val="24"/>
                <w:szCs w:val="24"/>
              </w:rPr>
              <w:t>3</w:t>
            </w:r>
            <w:r w:rsidR="00D80EF7" w:rsidRPr="00E81A6E">
              <w:rPr>
                <w:rFonts w:cs="Times New Roman"/>
                <w:sz w:val="24"/>
                <w:szCs w:val="24"/>
                <w:lang w:val="bg-BG"/>
              </w:rPr>
              <w:t>79</w:t>
            </w:r>
            <w:r w:rsidRPr="00E81A6E">
              <w:rPr>
                <w:rFonts w:cs="Times New Roman"/>
                <w:sz w:val="24"/>
                <w:szCs w:val="24"/>
              </w:rPr>
              <w:t>,</w:t>
            </w:r>
            <w:r w:rsidR="00D80EF7" w:rsidRPr="00E81A6E">
              <w:rPr>
                <w:rFonts w:cs="Times New Roman"/>
                <w:sz w:val="24"/>
                <w:szCs w:val="24"/>
                <w:lang w:val="bg-BG"/>
              </w:rPr>
              <w:t>156</w:t>
            </w:r>
            <w:r w:rsidRPr="00E81A6E">
              <w:rPr>
                <w:rFonts w:cs="Times New Roman"/>
                <w:sz w:val="24"/>
                <w:szCs w:val="24"/>
              </w:rPr>
              <w:t>,</w:t>
            </w:r>
            <w:r w:rsidR="00D80EF7" w:rsidRPr="00E81A6E">
              <w:rPr>
                <w:rFonts w:cs="Times New Roman"/>
                <w:sz w:val="24"/>
                <w:szCs w:val="24"/>
                <w:lang w:val="bg-BG"/>
              </w:rPr>
              <w:t>4</w:t>
            </w:r>
            <w:r w:rsidR="00166CFC" w:rsidRPr="00E81A6E">
              <w:rPr>
                <w:rFonts w:cs="Times New Roman"/>
                <w:sz w:val="24"/>
                <w:szCs w:val="24"/>
              </w:rPr>
              <w:t>0</w:t>
            </w:r>
            <w:r w:rsidRPr="00E81A6E">
              <w:rPr>
                <w:rFonts w:cs="Times New Roman"/>
                <w:sz w:val="24"/>
                <w:szCs w:val="24"/>
              </w:rPr>
              <w:t xml:space="preserve">0 </w:t>
            </w:r>
          </w:p>
        </w:tc>
      </w:tr>
    </w:tbl>
    <w:p w14:paraId="34BA6A0A" w14:textId="77777777" w:rsidR="00FD0ABD" w:rsidRPr="00E81A6E" w:rsidRDefault="00FD0ABD" w:rsidP="00F55B06">
      <w:pPr>
        <w:pStyle w:val="Heading4"/>
        <w:spacing w:before="0" w:line="240" w:lineRule="auto"/>
        <w:ind w:firstLine="720"/>
        <w:contextualSpacing/>
        <w:rPr>
          <w:rFonts w:ascii="Times New Roman" w:hAnsi="Times New Roman" w:cs="Times New Roman"/>
          <w:color w:val="auto"/>
          <w:lang w:val="bg-BG"/>
        </w:rPr>
      </w:pPr>
      <w:bookmarkStart w:id="56" w:name="_Toc503629618"/>
    </w:p>
    <w:p w14:paraId="6E82DB8B" w14:textId="77777777" w:rsidR="006F5B92" w:rsidRPr="00E81A6E" w:rsidRDefault="006F5B92" w:rsidP="00F55B06">
      <w:pPr>
        <w:pStyle w:val="Heading4"/>
        <w:spacing w:before="0" w:line="240" w:lineRule="auto"/>
        <w:ind w:firstLine="720"/>
        <w:contextualSpacing/>
        <w:rPr>
          <w:rFonts w:ascii="Times New Roman" w:hAnsi="Times New Roman" w:cs="Times New Roman"/>
          <w:color w:val="auto"/>
          <w:lang w:val="ru-RU"/>
        </w:rPr>
      </w:pPr>
      <w:r w:rsidRPr="00E81A6E">
        <w:rPr>
          <w:rFonts w:ascii="Times New Roman" w:hAnsi="Times New Roman" w:cs="Times New Roman"/>
          <w:color w:val="auto"/>
          <w:lang w:val="ru-RU"/>
        </w:rPr>
        <w:t>1. ДАНЪЧНИ ПРИХОДИ</w:t>
      </w:r>
      <w:bookmarkEnd w:id="56"/>
      <w:r w:rsidR="003309AA" w:rsidRPr="00E81A6E">
        <w:rPr>
          <w:rFonts w:ascii="Times New Roman" w:hAnsi="Times New Roman" w:cs="Times New Roman"/>
          <w:color w:val="auto"/>
          <w:lang w:val="ru-RU"/>
        </w:rPr>
        <w:t xml:space="preserve"> </w:t>
      </w:r>
    </w:p>
    <w:p w14:paraId="2D2D6280" w14:textId="77777777" w:rsidR="00401377"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Прогнозата за данъчните приходи за 20</w:t>
      </w:r>
      <w:r w:rsidR="00991CC6" w:rsidRPr="00E81A6E">
        <w:rPr>
          <w:rFonts w:ascii="Times New Roman" w:hAnsi="Times New Roman" w:cs="Times New Roman"/>
          <w:sz w:val="24"/>
          <w:szCs w:val="24"/>
          <w:lang w:val="ru-RU"/>
        </w:rPr>
        <w:t>2</w:t>
      </w:r>
      <w:r w:rsidR="00166CFC" w:rsidRPr="00E81A6E">
        <w:rPr>
          <w:rFonts w:ascii="Times New Roman" w:hAnsi="Times New Roman" w:cs="Times New Roman"/>
          <w:sz w:val="24"/>
          <w:szCs w:val="24"/>
        </w:rPr>
        <w:t>1</w:t>
      </w:r>
      <w:r w:rsidRPr="00E81A6E">
        <w:rPr>
          <w:rFonts w:ascii="Times New Roman" w:hAnsi="Times New Roman" w:cs="Times New Roman"/>
          <w:sz w:val="24"/>
          <w:szCs w:val="24"/>
          <w:lang w:val="ru-RU"/>
        </w:rPr>
        <w:t xml:space="preserve"> година е </w:t>
      </w:r>
      <w:r w:rsidRPr="00E81A6E">
        <w:rPr>
          <w:rFonts w:ascii="Times New Roman" w:hAnsi="Times New Roman" w:cs="Times New Roman"/>
          <w:b/>
          <w:bCs/>
          <w:sz w:val="24"/>
          <w:szCs w:val="24"/>
          <w:lang w:val="bg-BG"/>
        </w:rPr>
        <w:t>3</w:t>
      </w:r>
      <w:r w:rsidR="00166CFC" w:rsidRPr="00E81A6E">
        <w:rPr>
          <w:rFonts w:ascii="Times New Roman" w:hAnsi="Times New Roman" w:cs="Times New Roman"/>
          <w:b/>
          <w:bCs/>
          <w:sz w:val="24"/>
          <w:szCs w:val="24"/>
        </w:rPr>
        <w:t>9</w:t>
      </w:r>
      <w:r w:rsidR="003D6201" w:rsidRPr="00E81A6E">
        <w:rPr>
          <w:rFonts w:ascii="Times New Roman" w:hAnsi="Times New Roman" w:cs="Times New Roman"/>
          <w:b/>
          <w:bCs/>
          <w:sz w:val="24"/>
          <w:szCs w:val="24"/>
          <w:lang w:val="bg-BG"/>
        </w:rPr>
        <w:t>2</w:t>
      </w:r>
      <w:r w:rsidRPr="00E81A6E">
        <w:rPr>
          <w:rFonts w:ascii="Times New Roman" w:hAnsi="Times New Roman" w:cs="Times New Roman"/>
          <w:b/>
          <w:bCs/>
          <w:sz w:val="24"/>
          <w:szCs w:val="24"/>
          <w:lang w:val="ru-RU"/>
        </w:rPr>
        <w:t>,</w:t>
      </w:r>
      <w:r w:rsidR="003D6201" w:rsidRPr="00E81A6E">
        <w:rPr>
          <w:rFonts w:ascii="Times New Roman" w:hAnsi="Times New Roman" w:cs="Times New Roman"/>
          <w:b/>
          <w:bCs/>
          <w:sz w:val="24"/>
          <w:szCs w:val="24"/>
          <w:lang w:val="ru-RU"/>
        </w:rPr>
        <w:t>2</w:t>
      </w:r>
      <w:r w:rsidR="00166CFC" w:rsidRPr="00E81A6E">
        <w:rPr>
          <w:rFonts w:ascii="Times New Roman" w:hAnsi="Times New Roman" w:cs="Times New Roman"/>
          <w:b/>
          <w:bCs/>
          <w:sz w:val="24"/>
          <w:szCs w:val="24"/>
        </w:rPr>
        <w:t>70</w:t>
      </w:r>
      <w:r w:rsidRPr="00E81A6E">
        <w:rPr>
          <w:rFonts w:ascii="Times New Roman" w:hAnsi="Times New Roman" w:cs="Times New Roman"/>
          <w:b/>
          <w:bCs/>
          <w:sz w:val="24"/>
          <w:szCs w:val="24"/>
          <w:lang w:val="bg-BG"/>
        </w:rPr>
        <w:t>,000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в това число по основните видове данъци, както следва:</w:t>
      </w:r>
    </w:p>
    <w:tbl>
      <w:tblPr>
        <w:tblW w:w="4480" w:type="pct"/>
        <w:tblInd w:w="2" w:type="dxa"/>
        <w:tblLook w:val="00A0" w:firstRow="1" w:lastRow="0" w:firstColumn="1" w:lastColumn="0" w:noHBand="0" w:noVBand="0"/>
      </w:tblPr>
      <w:tblGrid>
        <w:gridCol w:w="6277"/>
        <w:gridCol w:w="2360"/>
      </w:tblGrid>
      <w:tr w:rsidR="006F5B92" w:rsidRPr="00E81A6E" w14:paraId="77FE6CBD" w14:textId="77777777">
        <w:tc>
          <w:tcPr>
            <w:tcW w:w="3634" w:type="pct"/>
            <w:tcBorders>
              <w:bottom w:val="single" w:sz="4" w:space="0" w:color="7F7F7F"/>
              <w:right w:val="nil"/>
            </w:tcBorders>
          </w:tcPr>
          <w:p w14:paraId="41289DD8" w14:textId="77777777" w:rsidR="006F5B92" w:rsidRPr="00E81A6E" w:rsidRDefault="006F5B92" w:rsidP="00F55B06">
            <w:pPr>
              <w:spacing w:after="0" w:line="240" w:lineRule="auto"/>
              <w:ind w:firstLine="720"/>
              <w:contextualSpacing/>
              <w:jc w:val="center"/>
              <w:rPr>
                <w:rFonts w:ascii="Times New Roman" w:hAnsi="Times New Roman" w:cs="Times New Roman"/>
                <w:b/>
                <w:bCs/>
                <w:caps/>
                <w:sz w:val="24"/>
                <w:szCs w:val="24"/>
              </w:rPr>
            </w:pPr>
            <w:r w:rsidRPr="00E81A6E">
              <w:rPr>
                <w:rFonts w:ascii="Times New Roman" w:hAnsi="Times New Roman" w:cs="Times New Roman"/>
                <w:b/>
                <w:bCs/>
                <w:caps/>
                <w:sz w:val="24"/>
                <w:szCs w:val="24"/>
              </w:rPr>
              <w:t>Вид данък</w:t>
            </w:r>
          </w:p>
        </w:tc>
        <w:tc>
          <w:tcPr>
            <w:tcW w:w="1366" w:type="pct"/>
            <w:tcBorders>
              <w:bottom w:val="single" w:sz="4" w:space="0" w:color="7F7F7F"/>
            </w:tcBorders>
          </w:tcPr>
          <w:p w14:paraId="4E3C3D09" w14:textId="77777777" w:rsidR="006F5B92" w:rsidRPr="00E81A6E" w:rsidRDefault="006F5B92" w:rsidP="00F52677">
            <w:pPr>
              <w:spacing w:after="0" w:line="240" w:lineRule="auto"/>
              <w:contextualSpacing/>
              <w:jc w:val="center"/>
              <w:rPr>
                <w:rFonts w:ascii="Times New Roman" w:hAnsi="Times New Roman" w:cs="Times New Roman"/>
                <w:b/>
                <w:bCs/>
                <w:caps/>
                <w:sz w:val="24"/>
                <w:szCs w:val="24"/>
              </w:rPr>
            </w:pPr>
            <w:r w:rsidRPr="00E81A6E">
              <w:rPr>
                <w:rFonts w:ascii="Times New Roman" w:hAnsi="Times New Roman" w:cs="Times New Roman"/>
                <w:b/>
                <w:bCs/>
                <w:caps/>
                <w:sz w:val="24"/>
                <w:szCs w:val="24"/>
              </w:rPr>
              <w:t>Планиран приход (лева)</w:t>
            </w:r>
          </w:p>
        </w:tc>
      </w:tr>
      <w:tr w:rsidR="006F5B92" w:rsidRPr="00E81A6E" w14:paraId="7D5C753C" w14:textId="77777777">
        <w:tc>
          <w:tcPr>
            <w:tcW w:w="3634" w:type="pct"/>
            <w:tcBorders>
              <w:right w:val="single" w:sz="4" w:space="0" w:color="7F7F7F"/>
            </w:tcBorders>
            <w:shd w:val="clear" w:color="auto" w:fill="F2F2F2"/>
          </w:tcPr>
          <w:p w14:paraId="769E9321"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 xml:space="preserve">Данък върху недвижимите имоти </w:t>
            </w:r>
          </w:p>
        </w:tc>
        <w:tc>
          <w:tcPr>
            <w:tcW w:w="1366" w:type="pct"/>
            <w:shd w:val="clear" w:color="auto" w:fill="F2F2F2"/>
          </w:tcPr>
          <w:p w14:paraId="3C7F5E96"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lang w:val="bg-BG"/>
              </w:rPr>
              <w:t>1</w:t>
            </w:r>
            <w:r w:rsidR="00991CC6" w:rsidRPr="00E81A6E">
              <w:rPr>
                <w:rFonts w:ascii="Times New Roman" w:hAnsi="Times New Roman" w:cs="Times New Roman"/>
                <w:sz w:val="24"/>
                <w:szCs w:val="24"/>
                <w:lang w:val="bg-BG"/>
              </w:rPr>
              <w:t>1</w:t>
            </w:r>
            <w:r w:rsidR="00111D81" w:rsidRPr="00E81A6E">
              <w:rPr>
                <w:rFonts w:ascii="Times New Roman" w:hAnsi="Times New Roman" w:cs="Times New Roman"/>
                <w:sz w:val="24"/>
                <w:szCs w:val="24"/>
              </w:rPr>
              <w:t>2</w:t>
            </w:r>
            <w:r w:rsidRPr="00E81A6E">
              <w:rPr>
                <w:rFonts w:ascii="Times New Roman" w:hAnsi="Times New Roman" w:cs="Times New Roman"/>
                <w:sz w:val="24"/>
                <w:szCs w:val="24"/>
              </w:rPr>
              <w:t>,</w:t>
            </w:r>
            <w:r w:rsidR="00991CC6" w:rsidRPr="00E81A6E">
              <w:rPr>
                <w:rFonts w:ascii="Times New Roman" w:hAnsi="Times New Roman" w:cs="Times New Roman"/>
                <w:sz w:val="24"/>
                <w:szCs w:val="24"/>
                <w:lang w:val="bg-BG"/>
              </w:rPr>
              <w:t>5</w:t>
            </w:r>
            <w:r w:rsidRPr="00E81A6E">
              <w:rPr>
                <w:rFonts w:ascii="Times New Roman" w:hAnsi="Times New Roman" w:cs="Times New Roman"/>
                <w:sz w:val="24"/>
                <w:szCs w:val="24"/>
                <w:lang w:val="bg-BG"/>
              </w:rPr>
              <w:t>00</w:t>
            </w:r>
            <w:r w:rsidRPr="00E81A6E">
              <w:rPr>
                <w:rFonts w:ascii="Times New Roman" w:hAnsi="Times New Roman" w:cs="Times New Roman"/>
                <w:sz w:val="24"/>
                <w:szCs w:val="24"/>
              </w:rPr>
              <w:t>,000</w:t>
            </w:r>
          </w:p>
        </w:tc>
      </w:tr>
      <w:tr w:rsidR="006F5B92" w:rsidRPr="00E81A6E" w14:paraId="785D7936" w14:textId="77777777">
        <w:tc>
          <w:tcPr>
            <w:tcW w:w="3634" w:type="pct"/>
            <w:tcBorders>
              <w:right w:val="single" w:sz="4" w:space="0" w:color="7F7F7F"/>
            </w:tcBorders>
          </w:tcPr>
          <w:p w14:paraId="5F0A6958"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Данък върху превозните средства</w:t>
            </w:r>
            <w:r w:rsidR="00B26384" w:rsidRPr="00E81A6E">
              <w:rPr>
                <w:rFonts w:ascii="Times New Roman" w:hAnsi="Times New Roman" w:cs="Times New Roman"/>
                <w:sz w:val="24"/>
                <w:szCs w:val="24"/>
              </w:rPr>
              <w:t xml:space="preserve"> </w:t>
            </w:r>
          </w:p>
        </w:tc>
        <w:tc>
          <w:tcPr>
            <w:tcW w:w="1366" w:type="pct"/>
          </w:tcPr>
          <w:p w14:paraId="2D783A33"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1</w:t>
            </w:r>
            <w:r w:rsidR="00111D81" w:rsidRPr="00E81A6E">
              <w:rPr>
                <w:rFonts w:ascii="Times New Roman" w:hAnsi="Times New Roman" w:cs="Times New Roman"/>
                <w:sz w:val="24"/>
                <w:szCs w:val="24"/>
              </w:rPr>
              <w:t>10</w:t>
            </w:r>
            <w:r w:rsidRPr="00E81A6E">
              <w:rPr>
                <w:rFonts w:ascii="Times New Roman" w:hAnsi="Times New Roman" w:cs="Times New Roman"/>
                <w:sz w:val="24"/>
                <w:szCs w:val="24"/>
              </w:rPr>
              <w:t>,</w:t>
            </w:r>
            <w:r w:rsidRPr="00E81A6E">
              <w:rPr>
                <w:rFonts w:ascii="Times New Roman" w:hAnsi="Times New Roman" w:cs="Times New Roman"/>
                <w:sz w:val="24"/>
                <w:szCs w:val="24"/>
                <w:lang w:val="bg-BG"/>
              </w:rPr>
              <w:t>000</w:t>
            </w:r>
            <w:r w:rsidRPr="00E81A6E">
              <w:rPr>
                <w:rFonts w:ascii="Times New Roman" w:hAnsi="Times New Roman" w:cs="Times New Roman"/>
                <w:sz w:val="24"/>
                <w:szCs w:val="24"/>
              </w:rPr>
              <w:t>,000</w:t>
            </w:r>
          </w:p>
        </w:tc>
      </w:tr>
      <w:tr w:rsidR="006F5B92" w:rsidRPr="00E81A6E" w14:paraId="332A8EA7" w14:textId="77777777">
        <w:tc>
          <w:tcPr>
            <w:tcW w:w="3634" w:type="pct"/>
            <w:tcBorders>
              <w:right w:val="single" w:sz="4" w:space="0" w:color="7F7F7F"/>
            </w:tcBorders>
            <w:shd w:val="clear" w:color="auto" w:fill="F2F2F2"/>
          </w:tcPr>
          <w:p w14:paraId="34FFFFC8"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Данък при възмездно придобиване на имущество и дарения</w:t>
            </w:r>
            <w:r w:rsidR="00B26384" w:rsidRPr="00E81A6E">
              <w:rPr>
                <w:rFonts w:ascii="Times New Roman" w:hAnsi="Times New Roman" w:cs="Times New Roman"/>
                <w:sz w:val="24"/>
                <w:szCs w:val="24"/>
                <w:lang w:val="ru-RU"/>
              </w:rPr>
              <w:t xml:space="preserve"> </w:t>
            </w:r>
          </w:p>
        </w:tc>
        <w:tc>
          <w:tcPr>
            <w:tcW w:w="1366" w:type="pct"/>
            <w:shd w:val="clear" w:color="auto" w:fill="F2F2F2"/>
          </w:tcPr>
          <w:p w14:paraId="5C047C8A"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lang w:val="bg-BG"/>
              </w:rPr>
            </w:pPr>
            <w:r w:rsidRPr="00E81A6E">
              <w:rPr>
                <w:rFonts w:ascii="Times New Roman" w:hAnsi="Times New Roman" w:cs="Times New Roman"/>
                <w:sz w:val="24"/>
                <w:szCs w:val="24"/>
                <w:lang w:val="bg-BG"/>
              </w:rPr>
              <w:t>1</w:t>
            </w:r>
            <w:r w:rsidR="003D6201" w:rsidRPr="00E81A6E">
              <w:rPr>
                <w:rFonts w:ascii="Times New Roman" w:hAnsi="Times New Roman" w:cs="Times New Roman"/>
                <w:sz w:val="24"/>
                <w:szCs w:val="24"/>
                <w:lang w:val="bg-BG"/>
              </w:rPr>
              <w:t>60</w:t>
            </w:r>
            <w:r w:rsidRPr="00E81A6E">
              <w:rPr>
                <w:rFonts w:ascii="Times New Roman" w:hAnsi="Times New Roman" w:cs="Times New Roman"/>
                <w:sz w:val="24"/>
                <w:szCs w:val="24"/>
              </w:rPr>
              <w:t>,</w:t>
            </w:r>
            <w:r w:rsidR="003D6201" w:rsidRPr="00E81A6E">
              <w:rPr>
                <w:rFonts w:ascii="Times New Roman" w:hAnsi="Times New Roman" w:cs="Times New Roman"/>
                <w:sz w:val="24"/>
                <w:szCs w:val="24"/>
                <w:lang w:val="bg-BG"/>
              </w:rPr>
              <w:t>0</w:t>
            </w:r>
            <w:r w:rsidRPr="00E81A6E">
              <w:rPr>
                <w:rFonts w:ascii="Times New Roman" w:hAnsi="Times New Roman" w:cs="Times New Roman"/>
                <w:sz w:val="24"/>
                <w:szCs w:val="24"/>
              </w:rPr>
              <w:t>00,000</w:t>
            </w:r>
          </w:p>
        </w:tc>
      </w:tr>
      <w:tr w:rsidR="006F5B92" w:rsidRPr="00E81A6E" w14:paraId="51AD6912" w14:textId="77777777">
        <w:tc>
          <w:tcPr>
            <w:tcW w:w="3634" w:type="pct"/>
            <w:tcBorders>
              <w:right w:val="single" w:sz="4" w:space="0" w:color="7F7F7F"/>
            </w:tcBorders>
          </w:tcPr>
          <w:p w14:paraId="02AF7251"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lang w:val="bg-BG"/>
              </w:rPr>
            </w:pPr>
            <w:r w:rsidRPr="00E81A6E">
              <w:rPr>
                <w:rFonts w:ascii="Times New Roman" w:hAnsi="Times New Roman" w:cs="Times New Roman"/>
                <w:sz w:val="24"/>
                <w:szCs w:val="24"/>
                <w:lang w:val="ru-RU"/>
              </w:rPr>
              <w:t>Патентен данък</w:t>
            </w:r>
            <w:r w:rsidRPr="00E81A6E">
              <w:rPr>
                <w:rFonts w:ascii="Times New Roman" w:hAnsi="Times New Roman" w:cs="Times New Roman"/>
                <w:sz w:val="24"/>
                <w:szCs w:val="24"/>
                <w:lang w:val="bg-BG"/>
              </w:rPr>
              <w:t xml:space="preserve"> и данък върху таксиметров превоз:</w:t>
            </w:r>
          </w:p>
        </w:tc>
        <w:tc>
          <w:tcPr>
            <w:tcW w:w="1366" w:type="pct"/>
          </w:tcPr>
          <w:p w14:paraId="1FC13225" w14:textId="77777777" w:rsidR="006F5B92" w:rsidRPr="00E81A6E" w:rsidRDefault="00111D81"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6</w:t>
            </w:r>
            <w:r w:rsidR="006F5B92" w:rsidRPr="00E81A6E">
              <w:rPr>
                <w:rFonts w:ascii="Times New Roman" w:hAnsi="Times New Roman" w:cs="Times New Roman"/>
                <w:sz w:val="24"/>
                <w:szCs w:val="24"/>
              </w:rPr>
              <w:t>,</w:t>
            </w:r>
            <w:r w:rsidRPr="00E81A6E">
              <w:rPr>
                <w:rFonts w:ascii="Times New Roman" w:hAnsi="Times New Roman" w:cs="Times New Roman"/>
                <w:sz w:val="24"/>
                <w:szCs w:val="24"/>
              </w:rPr>
              <w:t>80</w:t>
            </w:r>
            <w:r w:rsidR="006F5B92" w:rsidRPr="00E81A6E">
              <w:rPr>
                <w:rFonts w:ascii="Times New Roman" w:hAnsi="Times New Roman" w:cs="Times New Roman"/>
                <w:sz w:val="24"/>
                <w:szCs w:val="24"/>
                <w:lang w:val="bg-BG"/>
              </w:rPr>
              <w:t>0</w:t>
            </w:r>
            <w:r w:rsidR="006F5B92" w:rsidRPr="00E81A6E">
              <w:rPr>
                <w:rFonts w:ascii="Times New Roman" w:hAnsi="Times New Roman" w:cs="Times New Roman"/>
                <w:sz w:val="24"/>
                <w:szCs w:val="24"/>
              </w:rPr>
              <w:t>,000</w:t>
            </w:r>
          </w:p>
        </w:tc>
      </w:tr>
      <w:tr w:rsidR="006F5B92" w:rsidRPr="00E81A6E" w14:paraId="2B427D08" w14:textId="77777777">
        <w:tc>
          <w:tcPr>
            <w:tcW w:w="3634" w:type="pct"/>
            <w:tcBorders>
              <w:right w:val="single" w:sz="4" w:space="0" w:color="7F7F7F"/>
            </w:tcBorders>
            <w:shd w:val="clear" w:color="auto" w:fill="F2F2F2"/>
          </w:tcPr>
          <w:p w14:paraId="04A4A7CB" w14:textId="77777777" w:rsidR="006F5B92" w:rsidRPr="00E81A6E" w:rsidRDefault="006F5B92" w:rsidP="00F55B06">
            <w:pPr>
              <w:spacing w:after="0" w:line="240" w:lineRule="auto"/>
              <w:ind w:firstLine="720"/>
              <w:contextualSpacing/>
              <w:jc w:val="both"/>
              <w:rPr>
                <w:rFonts w:ascii="Times New Roman" w:hAnsi="Times New Roman" w:cs="Times New Roman"/>
                <w:b/>
                <w:bCs/>
                <w:caps/>
                <w:sz w:val="24"/>
                <w:szCs w:val="24"/>
                <w:lang w:val="bg-BG"/>
              </w:rPr>
            </w:pPr>
            <w:r w:rsidRPr="00E81A6E">
              <w:rPr>
                <w:rFonts w:ascii="Times New Roman" w:hAnsi="Times New Roman" w:cs="Times New Roman"/>
                <w:sz w:val="24"/>
                <w:szCs w:val="24"/>
                <w:lang w:val="bg-BG"/>
              </w:rPr>
              <w:t>в т.ч. данък върху таксиметров превоз на пътници</w:t>
            </w:r>
          </w:p>
        </w:tc>
        <w:tc>
          <w:tcPr>
            <w:tcW w:w="1366" w:type="pct"/>
            <w:shd w:val="clear" w:color="auto" w:fill="F2F2F2"/>
          </w:tcPr>
          <w:p w14:paraId="3BC5B877"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lang w:val="bg-BG"/>
              </w:rPr>
              <w:t>5</w:t>
            </w:r>
            <w:r w:rsidRPr="00E81A6E">
              <w:rPr>
                <w:rFonts w:ascii="Times New Roman" w:hAnsi="Times New Roman" w:cs="Times New Roman"/>
                <w:sz w:val="24"/>
                <w:szCs w:val="24"/>
              </w:rPr>
              <w:t>,</w:t>
            </w:r>
            <w:r w:rsidR="00111D81" w:rsidRPr="00E81A6E">
              <w:rPr>
                <w:rFonts w:ascii="Times New Roman" w:hAnsi="Times New Roman" w:cs="Times New Roman"/>
                <w:sz w:val="24"/>
                <w:szCs w:val="24"/>
              </w:rPr>
              <w:t>0</w:t>
            </w:r>
            <w:r w:rsidRPr="00E81A6E">
              <w:rPr>
                <w:rFonts w:ascii="Times New Roman" w:hAnsi="Times New Roman" w:cs="Times New Roman"/>
                <w:sz w:val="24"/>
                <w:szCs w:val="24"/>
                <w:lang w:val="bg-BG"/>
              </w:rPr>
              <w:t>00</w:t>
            </w:r>
            <w:r w:rsidRPr="00E81A6E">
              <w:rPr>
                <w:rFonts w:ascii="Times New Roman" w:hAnsi="Times New Roman" w:cs="Times New Roman"/>
                <w:sz w:val="24"/>
                <w:szCs w:val="24"/>
              </w:rPr>
              <w:t>,000</w:t>
            </w:r>
          </w:p>
        </w:tc>
      </w:tr>
      <w:tr w:rsidR="006F5B92" w:rsidRPr="00E81A6E" w14:paraId="19E3F3C9" w14:textId="77777777">
        <w:tc>
          <w:tcPr>
            <w:tcW w:w="3634" w:type="pct"/>
            <w:tcBorders>
              <w:right w:val="single" w:sz="4" w:space="0" w:color="7F7F7F"/>
            </w:tcBorders>
          </w:tcPr>
          <w:p w14:paraId="30C3608B" w14:textId="77777777" w:rsidR="006F5B92" w:rsidRPr="00E81A6E" w:rsidRDefault="006F5B92" w:rsidP="00F52677">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lastRenderedPageBreak/>
              <w:t>Туристически данък</w:t>
            </w:r>
          </w:p>
        </w:tc>
        <w:tc>
          <w:tcPr>
            <w:tcW w:w="1366" w:type="pct"/>
          </w:tcPr>
          <w:p w14:paraId="525B76A8" w14:textId="77777777" w:rsidR="006F5B92" w:rsidRPr="00E81A6E" w:rsidRDefault="00111D81"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2</w:t>
            </w:r>
            <w:r w:rsidR="006F5B92" w:rsidRPr="00E81A6E">
              <w:rPr>
                <w:rFonts w:ascii="Times New Roman" w:hAnsi="Times New Roman" w:cs="Times New Roman"/>
                <w:sz w:val="24"/>
                <w:szCs w:val="24"/>
              </w:rPr>
              <w:t>,</w:t>
            </w:r>
            <w:r w:rsidRPr="00E81A6E">
              <w:rPr>
                <w:rFonts w:ascii="Times New Roman" w:hAnsi="Times New Roman" w:cs="Times New Roman"/>
                <w:sz w:val="24"/>
                <w:szCs w:val="24"/>
              </w:rPr>
              <w:t>8</w:t>
            </w:r>
            <w:r w:rsidR="006F5B92" w:rsidRPr="00E81A6E">
              <w:rPr>
                <w:rFonts w:ascii="Times New Roman" w:hAnsi="Times New Roman" w:cs="Times New Roman"/>
                <w:sz w:val="24"/>
                <w:szCs w:val="24"/>
                <w:lang w:val="bg-BG"/>
              </w:rPr>
              <w:t>00</w:t>
            </w:r>
            <w:r w:rsidR="006F5B92" w:rsidRPr="00E81A6E">
              <w:rPr>
                <w:rFonts w:ascii="Times New Roman" w:hAnsi="Times New Roman" w:cs="Times New Roman"/>
                <w:sz w:val="24"/>
                <w:szCs w:val="24"/>
              </w:rPr>
              <w:t>,000</w:t>
            </w:r>
          </w:p>
        </w:tc>
      </w:tr>
    </w:tbl>
    <w:p w14:paraId="590C16F2"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p>
    <w:p w14:paraId="3FD93335" w14:textId="77777777" w:rsidR="00690CE7" w:rsidRPr="00E81A6E" w:rsidRDefault="00690CE7"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Ставките на повечето местни данъци в столицата са близки до средните стойности за страната и останалите областни центрове</w:t>
      </w:r>
      <w:r w:rsidR="00111D81"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Нивата на някои от местните данъци в Столична община са следните:</w:t>
      </w:r>
    </w:p>
    <w:p w14:paraId="0A8E444F" w14:textId="77777777" w:rsidR="00690CE7" w:rsidRPr="00E81A6E" w:rsidRDefault="00690CE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Данъкът върху недвижимите имоти е един от основните данъци</w:t>
      </w:r>
      <w:r w:rsidR="00111D81" w:rsidRPr="00E81A6E">
        <w:rPr>
          <w:rFonts w:ascii="Times New Roman" w:hAnsi="Times New Roman" w:cs="Times New Roman"/>
          <w:sz w:val="24"/>
          <w:szCs w:val="24"/>
          <w:lang w:val="bg-BG"/>
        </w:rPr>
        <w:t>. Той остава</w:t>
      </w:r>
      <w:r w:rsidRPr="00E81A6E">
        <w:rPr>
          <w:rFonts w:ascii="Times New Roman" w:hAnsi="Times New Roman" w:cs="Times New Roman"/>
          <w:sz w:val="24"/>
          <w:szCs w:val="24"/>
          <w:lang w:val="bg-BG"/>
        </w:rPr>
        <w:t xml:space="preserve"> на ниво от 1,875‰ през 202</w:t>
      </w:r>
      <w:r w:rsidR="00111D81"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 xml:space="preserve"> г. и не е променян през последните години. Тази стойност е </w:t>
      </w:r>
      <w:r w:rsidR="00763BD7" w:rsidRPr="00E81A6E">
        <w:rPr>
          <w:rFonts w:ascii="Times New Roman" w:hAnsi="Times New Roman" w:cs="Times New Roman"/>
          <w:sz w:val="24"/>
          <w:szCs w:val="24"/>
          <w:lang w:val="bg-BG"/>
        </w:rPr>
        <w:t>под</w:t>
      </w:r>
      <w:r w:rsidRPr="00E81A6E">
        <w:rPr>
          <w:rFonts w:ascii="Times New Roman" w:hAnsi="Times New Roman" w:cs="Times New Roman"/>
          <w:sz w:val="24"/>
          <w:szCs w:val="24"/>
          <w:lang w:val="bg-BG"/>
        </w:rPr>
        <w:t xml:space="preserve"> средното за страната ниво от 2,01‰;</w:t>
      </w:r>
    </w:p>
    <w:p w14:paraId="0EDF4C31" w14:textId="77777777" w:rsidR="00690CE7" w:rsidRPr="00E81A6E" w:rsidRDefault="00690CE7"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Данъкът за прехвърляне на собственост в Столичната община е 3</w:t>
      </w:r>
      <w:r w:rsidR="005D2E35" w:rsidRPr="00E81A6E">
        <w:rPr>
          <w:rFonts w:ascii="Times New Roman" w:hAnsi="Times New Roman" w:cs="Times New Roman"/>
          <w:sz w:val="24"/>
          <w:szCs w:val="24"/>
          <w:lang w:val="bg-BG"/>
        </w:rPr>
        <w:t xml:space="preserve"> на сто</w:t>
      </w:r>
      <w:r w:rsidRPr="00E81A6E">
        <w:rPr>
          <w:rFonts w:ascii="Times New Roman" w:hAnsi="Times New Roman" w:cs="Times New Roman"/>
          <w:sz w:val="24"/>
          <w:szCs w:val="24"/>
          <w:lang w:val="bg-BG"/>
        </w:rPr>
        <w:t xml:space="preserve"> </w:t>
      </w:r>
      <w:r w:rsidR="00111D81" w:rsidRPr="00E81A6E">
        <w:rPr>
          <w:rFonts w:ascii="Times New Roman" w:hAnsi="Times New Roman" w:cs="Times New Roman"/>
          <w:sz w:val="24"/>
          <w:szCs w:val="24"/>
          <w:lang w:val="bg-BG"/>
        </w:rPr>
        <w:t>от 1 януари</w:t>
      </w:r>
      <w:r w:rsidRPr="00E81A6E">
        <w:rPr>
          <w:rFonts w:ascii="Times New Roman" w:hAnsi="Times New Roman" w:cs="Times New Roman"/>
          <w:sz w:val="24"/>
          <w:szCs w:val="24"/>
          <w:lang w:val="bg-BG"/>
        </w:rPr>
        <w:t xml:space="preserve"> 2020г.</w:t>
      </w:r>
      <w:r w:rsidR="00DC1CB0" w:rsidRPr="00E81A6E">
        <w:rPr>
          <w:rFonts w:ascii="Times New Roman" w:hAnsi="Times New Roman" w:cs="Times New Roman"/>
          <w:sz w:val="24"/>
          <w:szCs w:val="24"/>
          <w:lang w:val="bg-BG"/>
        </w:rPr>
        <w:t xml:space="preserve"> и</w:t>
      </w:r>
      <w:r w:rsidRPr="00E81A6E">
        <w:rPr>
          <w:rFonts w:ascii="Times New Roman" w:hAnsi="Times New Roman" w:cs="Times New Roman"/>
          <w:sz w:val="24"/>
          <w:szCs w:val="24"/>
          <w:lang w:val="bg-BG"/>
        </w:rPr>
        <w:t xml:space="preserve"> също е близък до средните стойности в страната. В областните центрове този данък е преобладаващо на ниво </w:t>
      </w:r>
      <w:r w:rsidR="00DC1CB0" w:rsidRPr="00E81A6E">
        <w:rPr>
          <w:rFonts w:ascii="Times New Roman" w:hAnsi="Times New Roman" w:cs="Times New Roman"/>
          <w:sz w:val="24"/>
          <w:szCs w:val="24"/>
          <w:lang w:val="bg-BG"/>
        </w:rPr>
        <w:t>от 2,50</w:t>
      </w:r>
      <w:r w:rsidR="005D2E35" w:rsidRPr="00E81A6E">
        <w:rPr>
          <w:rFonts w:ascii="Times New Roman" w:hAnsi="Times New Roman" w:cs="Times New Roman"/>
          <w:sz w:val="24"/>
          <w:szCs w:val="24"/>
          <w:lang w:val="bg-BG"/>
        </w:rPr>
        <w:t xml:space="preserve"> на сто</w:t>
      </w:r>
      <w:r w:rsidRPr="00E81A6E">
        <w:rPr>
          <w:rFonts w:ascii="Times New Roman" w:hAnsi="Times New Roman" w:cs="Times New Roman"/>
          <w:sz w:val="24"/>
          <w:szCs w:val="24"/>
          <w:lang w:val="bg-BG"/>
        </w:rPr>
        <w:t>, като средната за страната стойност достига 2,69</w:t>
      </w:r>
      <w:r w:rsidR="005D2E35" w:rsidRPr="00E81A6E">
        <w:rPr>
          <w:rFonts w:ascii="Times New Roman" w:hAnsi="Times New Roman" w:cs="Times New Roman"/>
          <w:sz w:val="24"/>
          <w:szCs w:val="24"/>
          <w:lang w:val="bg-BG"/>
        </w:rPr>
        <w:t xml:space="preserve"> на сто</w:t>
      </w:r>
      <w:r w:rsidR="00DC1CB0"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 xml:space="preserve">след последната вълна </w:t>
      </w:r>
      <w:r w:rsidR="00DC1CB0" w:rsidRPr="00E81A6E">
        <w:rPr>
          <w:rFonts w:ascii="Times New Roman" w:hAnsi="Times New Roman" w:cs="Times New Roman"/>
          <w:sz w:val="24"/>
          <w:szCs w:val="24"/>
          <w:lang w:val="bg-BG"/>
        </w:rPr>
        <w:t xml:space="preserve">на </w:t>
      </w:r>
      <w:r w:rsidRPr="00E81A6E">
        <w:rPr>
          <w:rFonts w:ascii="Times New Roman" w:hAnsi="Times New Roman" w:cs="Times New Roman"/>
          <w:sz w:val="24"/>
          <w:szCs w:val="24"/>
          <w:lang w:val="bg-BG"/>
        </w:rPr>
        <w:t>увеличения на данъците;</w:t>
      </w:r>
    </w:p>
    <w:p w14:paraId="277A9DD6" w14:textId="77777777" w:rsidR="00690CE7" w:rsidRPr="00E81A6E" w:rsidRDefault="00690CE7"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Данъкът върху превозните средства и леките автомобили (с мощност от 74 kW до 110 kW при отчитане на най-тежкия екологичен компонент) в Столичната община е 1,69 лв./kW., на фона на 1,51 средно за страната.</w:t>
      </w:r>
    </w:p>
    <w:p w14:paraId="2605F0C3" w14:textId="77777777" w:rsidR="00205963" w:rsidRPr="00E81A6E" w:rsidRDefault="00205963" w:rsidP="00F55B06">
      <w:pPr>
        <w:pStyle w:val="Heading4"/>
        <w:spacing w:before="0" w:line="240" w:lineRule="auto"/>
        <w:ind w:firstLine="720"/>
        <w:contextualSpacing/>
        <w:rPr>
          <w:rFonts w:ascii="Times New Roman" w:hAnsi="Times New Roman" w:cs="Times New Roman"/>
          <w:color w:val="auto"/>
          <w:lang w:val="ru-RU"/>
        </w:rPr>
      </w:pPr>
      <w:bookmarkStart w:id="57" w:name="_Toc503629619"/>
    </w:p>
    <w:p w14:paraId="4CF23065" w14:textId="77777777" w:rsidR="003309AA" w:rsidRPr="00E81A6E" w:rsidRDefault="006F5B92" w:rsidP="00F55B06">
      <w:pPr>
        <w:pStyle w:val="Heading4"/>
        <w:spacing w:before="0" w:line="240" w:lineRule="auto"/>
        <w:ind w:firstLine="720"/>
        <w:contextualSpacing/>
        <w:rPr>
          <w:rFonts w:ascii="Times New Roman" w:hAnsi="Times New Roman" w:cs="Times New Roman"/>
          <w:color w:val="auto"/>
          <w:lang w:val="ru-RU"/>
        </w:rPr>
      </w:pPr>
      <w:r w:rsidRPr="00E81A6E">
        <w:rPr>
          <w:rFonts w:ascii="Times New Roman" w:hAnsi="Times New Roman" w:cs="Times New Roman"/>
          <w:color w:val="auto"/>
          <w:lang w:val="ru-RU"/>
        </w:rPr>
        <w:t>2. НЕДАНЪЧНИ ПРИХОДИ</w:t>
      </w:r>
      <w:bookmarkEnd w:id="57"/>
      <w:r w:rsidR="003309AA" w:rsidRPr="00E81A6E">
        <w:rPr>
          <w:rFonts w:ascii="Times New Roman" w:hAnsi="Times New Roman" w:cs="Times New Roman"/>
          <w:color w:val="auto"/>
          <w:lang w:val="ru-RU"/>
        </w:rPr>
        <w:t xml:space="preserve"> </w:t>
      </w:r>
    </w:p>
    <w:p w14:paraId="02377E71" w14:textId="77777777" w:rsidR="0064464F" w:rsidRPr="00E81A6E" w:rsidRDefault="0064464F" w:rsidP="00F55B06">
      <w:pPr>
        <w:spacing w:after="0" w:line="240" w:lineRule="auto"/>
        <w:ind w:firstLine="720"/>
        <w:contextualSpacing/>
        <w:jc w:val="both"/>
        <w:rPr>
          <w:rFonts w:ascii="Times New Roman" w:hAnsi="Times New Roman" w:cs="Times New Roman"/>
          <w:sz w:val="24"/>
          <w:szCs w:val="24"/>
          <w:lang w:val="ru-RU"/>
        </w:rPr>
      </w:pPr>
    </w:p>
    <w:p w14:paraId="25FA702C"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sz w:val="24"/>
          <w:szCs w:val="24"/>
          <w:lang w:val="ru-RU"/>
        </w:rPr>
        <w:t xml:space="preserve">Прогнозата за </w:t>
      </w:r>
      <w:r w:rsidRPr="00E81A6E">
        <w:rPr>
          <w:rFonts w:ascii="Times New Roman" w:hAnsi="Times New Roman" w:cs="Times New Roman"/>
          <w:b/>
          <w:bCs/>
          <w:sz w:val="24"/>
          <w:szCs w:val="24"/>
          <w:lang w:val="ru-RU"/>
        </w:rPr>
        <w:t>неданъчните приходи</w:t>
      </w:r>
      <w:r w:rsidRPr="00E81A6E">
        <w:rPr>
          <w:rFonts w:ascii="Times New Roman" w:hAnsi="Times New Roman" w:cs="Times New Roman"/>
          <w:sz w:val="24"/>
          <w:szCs w:val="24"/>
          <w:lang w:val="ru-RU"/>
        </w:rPr>
        <w:t xml:space="preserve"> за 20</w:t>
      </w:r>
      <w:r w:rsidR="00B75E23" w:rsidRPr="00E81A6E">
        <w:rPr>
          <w:rFonts w:ascii="Times New Roman" w:hAnsi="Times New Roman" w:cs="Times New Roman"/>
          <w:sz w:val="24"/>
          <w:szCs w:val="24"/>
          <w:lang w:val="ru-RU"/>
        </w:rPr>
        <w:t>2</w:t>
      </w:r>
      <w:r w:rsidR="00DC1CB0"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 година е </w:t>
      </w:r>
      <w:r w:rsidRPr="00E81A6E">
        <w:rPr>
          <w:rFonts w:ascii="Times New Roman" w:hAnsi="Times New Roman" w:cs="Times New Roman"/>
          <w:b/>
          <w:bCs/>
          <w:sz w:val="24"/>
          <w:szCs w:val="24"/>
          <w:lang w:val="ru-RU"/>
        </w:rPr>
        <w:t>3</w:t>
      </w:r>
      <w:r w:rsidR="005D2E35" w:rsidRPr="00E81A6E">
        <w:rPr>
          <w:rFonts w:ascii="Times New Roman" w:hAnsi="Times New Roman" w:cs="Times New Roman"/>
          <w:b/>
          <w:bCs/>
          <w:sz w:val="24"/>
          <w:szCs w:val="24"/>
          <w:lang w:val="ru-RU"/>
        </w:rPr>
        <w:t>79</w:t>
      </w:r>
      <w:r w:rsidRPr="00E81A6E">
        <w:rPr>
          <w:rFonts w:ascii="Times New Roman" w:hAnsi="Times New Roman" w:cs="Times New Roman"/>
          <w:b/>
          <w:bCs/>
          <w:sz w:val="24"/>
          <w:szCs w:val="24"/>
          <w:lang w:val="ru-RU"/>
        </w:rPr>
        <w:t>,</w:t>
      </w:r>
      <w:r w:rsidR="005D2E35" w:rsidRPr="00E81A6E">
        <w:rPr>
          <w:rFonts w:ascii="Times New Roman" w:hAnsi="Times New Roman" w:cs="Times New Roman"/>
          <w:b/>
          <w:bCs/>
          <w:sz w:val="24"/>
          <w:szCs w:val="24"/>
          <w:lang w:val="ru-RU"/>
        </w:rPr>
        <w:t>156</w:t>
      </w:r>
      <w:r w:rsidRPr="00E81A6E">
        <w:rPr>
          <w:rFonts w:ascii="Times New Roman" w:hAnsi="Times New Roman" w:cs="Times New Roman"/>
          <w:b/>
          <w:bCs/>
          <w:sz w:val="24"/>
          <w:szCs w:val="24"/>
          <w:lang w:val="ru-RU"/>
        </w:rPr>
        <w:t>,</w:t>
      </w:r>
      <w:r w:rsidR="005D2E35" w:rsidRPr="00E81A6E">
        <w:rPr>
          <w:rFonts w:ascii="Times New Roman" w:hAnsi="Times New Roman" w:cs="Times New Roman"/>
          <w:b/>
          <w:bCs/>
          <w:sz w:val="24"/>
          <w:szCs w:val="24"/>
          <w:lang w:val="ru-RU"/>
        </w:rPr>
        <w:t>4</w:t>
      </w:r>
      <w:r w:rsidRPr="00E81A6E">
        <w:rPr>
          <w:rFonts w:ascii="Times New Roman" w:hAnsi="Times New Roman" w:cs="Times New Roman"/>
          <w:b/>
          <w:bCs/>
          <w:sz w:val="24"/>
          <w:szCs w:val="24"/>
          <w:lang w:val="ru-RU"/>
        </w:rPr>
        <w:t>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p>
    <w:p w14:paraId="13AE0787" w14:textId="77777777" w:rsidR="0064464F" w:rsidRPr="00E81A6E" w:rsidRDefault="0064464F" w:rsidP="00F55B06">
      <w:pPr>
        <w:spacing w:after="0" w:line="240" w:lineRule="auto"/>
        <w:ind w:firstLine="720"/>
        <w:contextualSpacing/>
        <w:jc w:val="both"/>
        <w:rPr>
          <w:rFonts w:ascii="Times New Roman" w:hAnsi="Times New Roman" w:cs="Times New Roman"/>
          <w:sz w:val="24"/>
          <w:szCs w:val="24"/>
          <w:lang w:val="ru-RU"/>
        </w:rPr>
      </w:pPr>
    </w:p>
    <w:p w14:paraId="166391B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Те включват </w:t>
      </w:r>
      <w:r w:rsidRPr="00E81A6E">
        <w:rPr>
          <w:rFonts w:ascii="Times New Roman" w:hAnsi="Times New Roman" w:cs="Times New Roman"/>
          <w:b/>
          <w:bCs/>
          <w:sz w:val="24"/>
          <w:szCs w:val="24"/>
          <w:lang w:val="ru-RU"/>
        </w:rPr>
        <w:t>приходи и доходи от собственост</w:t>
      </w:r>
      <w:r w:rsidRPr="00E81A6E">
        <w:rPr>
          <w:rFonts w:ascii="Times New Roman" w:hAnsi="Times New Roman" w:cs="Times New Roman"/>
          <w:sz w:val="24"/>
          <w:szCs w:val="24"/>
          <w:lang w:val="ru-RU"/>
        </w:rPr>
        <w:t xml:space="preserve"> </w:t>
      </w:r>
      <w:r w:rsidR="005D2E35" w:rsidRPr="00E81A6E">
        <w:rPr>
          <w:rFonts w:ascii="Times New Roman" w:hAnsi="Times New Roman" w:cs="Times New Roman"/>
          <w:sz w:val="24"/>
          <w:szCs w:val="24"/>
          <w:lang w:val="ru-RU"/>
        </w:rPr>
        <w:t>38</w:t>
      </w:r>
      <w:r w:rsidRPr="00E81A6E">
        <w:rPr>
          <w:rFonts w:ascii="Times New Roman" w:hAnsi="Times New Roman" w:cs="Times New Roman"/>
          <w:sz w:val="24"/>
          <w:szCs w:val="24"/>
          <w:lang w:val="ru-RU"/>
        </w:rPr>
        <w:t>,</w:t>
      </w:r>
      <w:r w:rsidR="005D2E35" w:rsidRPr="00E81A6E">
        <w:rPr>
          <w:rFonts w:ascii="Times New Roman" w:hAnsi="Times New Roman" w:cs="Times New Roman"/>
          <w:sz w:val="24"/>
          <w:szCs w:val="24"/>
          <w:lang w:val="ru-RU"/>
        </w:rPr>
        <w:t>636</w:t>
      </w:r>
      <w:r w:rsidRPr="00E81A6E">
        <w:rPr>
          <w:rFonts w:ascii="Times New Roman" w:hAnsi="Times New Roman" w:cs="Times New Roman"/>
          <w:sz w:val="24"/>
          <w:szCs w:val="24"/>
          <w:lang w:val="ru-RU"/>
        </w:rPr>
        <w:t>,</w:t>
      </w:r>
      <w:r w:rsidR="005D2E35"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04DA2B38" w14:textId="77777777" w:rsidR="006F5B92" w:rsidRPr="00E81A6E" w:rsidRDefault="006F5B92" w:rsidP="00350B12">
      <w:pPr>
        <w:pStyle w:val="ListParagraph"/>
        <w:numPr>
          <w:ilvl w:val="0"/>
          <w:numId w:val="7"/>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Приходите от наеми на имущество, се разчитат в размер на 17,</w:t>
      </w:r>
      <w:r w:rsidRPr="00E81A6E">
        <w:rPr>
          <w:rFonts w:ascii="Times New Roman" w:hAnsi="Times New Roman" w:cs="Times New Roman"/>
          <w:sz w:val="24"/>
          <w:szCs w:val="24"/>
          <w:lang w:val="bg-BG"/>
        </w:rPr>
        <w:t>6</w:t>
      </w:r>
      <w:r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w:t>
      </w:r>
    </w:p>
    <w:p w14:paraId="40B8C1FC" w14:textId="77777777" w:rsidR="006F5B92" w:rsidRPr="00E81A6E" w:rsidRDefault="006F5B92" w:rsidP="00350B12">
      <w:pPr>
        <w:pStyle w:val="ListParagraph"/>
        <w:numPr>
          <w:ilvl w:val="0"/>
          <w:numId w:val="7"/>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От наеми на земя прогнозата е да постъпят 5,500,000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Разчетът е на база оценка на потенциалните приходи от тази дейност. </w:t>
      </w:r>
    </w:p>
    <w:p w14:paraId="0AF6B4B2" w14:textId="77777777" w:rsidR="006F5B92" w:rsidRPr="00E81A6E" w:rsidRDefault="005D2E35" w:rsidP="00350B12">
      <w:pPr>
        <w:pStyle w:val="ListParagraph"/>
        <w:numPr>
          <w:ilvl w:val="0"/>
          <w:numId w:val="7"/>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По §2404 «</w:t>
      </w:r>
      <w:r w:rsidR="006F5B92" w:rsidRPr="00E81A6E">
        <w:rPr>
          <w:rFonts w:ascii="Times New Roman" w:hAnsi="Times New Roman" w:cs="Times New Roman"/>
          <w:sz w:val="24"/>
          <w:szCs w:val="24"/>
          <w:lang w:val="ru-RU"/>
        </w:rPr>
        <w:t>Нетни приходи от продажба на продукция, стоки и услуги</w:t>
      </w:r>
      <w:r w:rsidRPr="00E81A6E">
        <w:rPr>
          <w:rFonts w:ascii="Times New Roman" w:hAnsi="Times New Roman" w:cs="Times New Roman"/>
          <w:sz w:val="24"/>
          <w:szCs w:val="24"/>
          <w:lang w:val="ru-RU"/>
        </w:rPr>
        <w:t>»</w:t>
      </w:r>
      <w:r w:rsidR="006F5B92" w:rsidRPr="00E81A6E">
        <w:rPr>
          <w:rFonts w:ascii="Times New Roman" w:hAnsi="Times New Roman" w:cs="Times New Roman"/>
          <w:sz w:val="24"/>
          <w:szCs w:val="24"/>
          <w:lang w:val="ru-RU"/>
        </w:rPr>
        <w:t xml:space="preserve"> са предвидени </w:t>
      </w:r>
      <w:r w:rsidR="006F5B92" w:rsidRPr="00E81A6E">
        <w:rPr>
          <w:rFonts w:ascii="Times New Roman" w:hAnsi="Times New Roman" w:cs="Times New Roman"/>
          <w:sz w:val="24"/>
          <w:szCs w:val="24"/>
          <w:lang w:val="bg-BG"/>
        </w:rPr>
        <w:t>1</w:t>
      </w:r>
      <w:r w:rsidR="00DC1CB0" w:rsidRPr="00E81A6E">
        <w:rPr>
          <w:rFonts w:ascii="Times New Roman" w:hAnsi="Times New Roman" w:cs="Times New Roman"/>
          <w:sz w:val="24"/>
          <w:szCs w:val="24"/>
          <w:lang w:val="bg-BG"/>
        </w:rPr>
        <w:t>3</w:t>
      </w:r>
      <w:r w:rsidR="006F5B92" w:rsidRPr="00E81A6E">
        <w:rPr>
          <w:rFonts w:ascii="Times New Roman" w:hAnsi="Times New Roman" w:cs="Times New Roman"/>
          <w:sz w:val="24"/>
          <w:szCs w:val="24"/>
          <w:lang w:val="ru-RU"/>
        </w:rPr>
        <w:t>,</w:t>
      </w:r>
      <w:r w:rsidR="00B75E23" w:rsidRPr="00E81A6E">
        <w:rPr>
          <w:rFonts w:ascii="Times New Roman" w:hAnsi="Times New Roman" w:cs="Times New Roman"/>
          <w:sz w:val="24"/>
          <w:szCs w:val="24"/>
          <w:lang w:val="ru-RU"/>
        </w:rPr>
        <w:t>5</w:t>
      </w:r>
      <w:r w:rsidR="006F5B92" w:rsidRPr="00E81A6E">
        <w:rPr>
          <w:rFonts w:ascii="Times New Roman" w:hAnsi="Times New Roman" w:cs="Times New Roman"/>
          <w:sz w:val="24"/>
          <w:szCs w:val="24"/>
          <w:lang w:val="ru-RU"/>
        </w:rPr>
        <w:t>00,000</w:t>
      </w:r>
      <w:r w:rsidR="00DC1CB0"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6F5B92" w:rsidRPr="00E81A6E">
        <w:rPr>
          <w:rFonts w:ascii="Times New Roman" w:hAnsi="Times New Roman" w:cs="Times New Roman"/>
          <w:sz w:val="24"/>
          <w:szCs w:val="24"/>
          <w:lang w:val="ru-RU"/>
        </w:rPr>
        <w:t xml:space="preserve"> Включени са приходи от продажба на тръжни книжа, услуги на общинските предприятия за обредни услуги, билети на Столичен зоопарк, право на рекламна дейност, приходи на Столичните театри и др. </w:t>
      </w:r>
    </w:p>
    <w:p w14:paraId="357EC377" w14:textId="77777777" w:rsidR="006F5B92" w:rsidRPr="00E81A6E" w:rsidRDefault="006F5B92" w:rsidP="00350B12">
      <w:pPr>
        <w:pStyle w:val="ListParagraph"/>
        <w:numPr>
          <w:ilvl w:val="0"/>
          <w:numId w:val="7"/>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Приходите от дивиденти /§2407/,</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са регламентирани с чл.</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1 от Наредбата за управление на еднолични търговски дружества с общинско участие и се предвижда през 20</w:t>
      </w:r>
      <w:r w:rsidR="003309AA" w:rsidRPr="00E81A6E">
        <w:rPr>
          <w:rFonts w:ascii="Times New Roman" w:hAnsi="Times New Roman" w:cs="Times New Roman"/>
          <w:sz w:val="24"/>
          <w:szCs w:val="24"/>
          <w:lang w:val="ru-RU"/>
        </w:rPr>
        <w:t>2</w:t>
      </w:r>
      <w:r w:rsidR="00BC635A"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да постъпят в размер на </w:t>
      </w:r>
      <w:r w:rsidR="005D2E35"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w:t>
      </w:r>
      <w:r w:rsidR="005D2E35" w:rsidRPr="00E81A6E">
        <w:rPr>
          <w:rFonts w:ascii="Times New Roman" w:hAnsi="Times New Roman" w:cs="Times New Roman"/>
          <w:sz w:val="24"/>
          <w:szCs w:val="24"/>
          <w:lang w:val="ru-RU"/>
        </w:rPr>
        <w:t>976</w:t>
      </w:r>
      <w:r w:rsidRPr="00E81A6E">
        <w:rPr>
          <w:rFonts w:ascii="Times New Roman" w:hAnsi="Times New Roman" w:cs="Times New Roman"/>
          <w:sz w:val="24"/>
          <w:szCs w:val="24"/>
          <w:lang w:val="ru-RU"/>
        </w:rPr>
        <w:t>,</w:t>
      </w:r>
      <w:r w:rsidR="005D2E35" w:rsidRPr="00E81A6E">
        <w:rPr>
          <w:rFonts w:ascii="Times New Roman" w:hAnsi="Times New Roman" w:cs="Times New Roman"/>
          <w:sz w:val="24"/>
          <w:szCs w:val="24"/>
          <w:lang w:val="ru-RU"/>
        </w:rPr>
        <w:t>4</w:t>
      </w:r>
      <w:r w:rsidRPr="00E81A6E">
        <w:rPr>
          <w:rFonts w:ascii="Times New Roman" w:hAnsi="Times New Roman" w:cs="Times New Roman"/>
          <w:sz w:val="24"/>
          <w:szCs w:val="24"/>
          <w:lang w:val="ru-RU"/>
        </w:rPr>
        <w:t>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5D2E35" w:rsidRPr="00E81A6E">
        <w:rPr>
          <w:rFonts w:ascii="Times New Roman" w:hAnsi="Times New Roman" w:cs="Times New Roman"/>
          <w:sz w:val="24"/>
          <w:szCs w:val="24"/>
          <w:lang w:val="ru-RU"/>
        </w:rPr>
        <w:t>, задължения от минали години на две търговски дружества.</w:t>
      </w:r>
    </w:p>
    <w:p w14:paraId="5B1D8BEA" w14:textId="77777777" w:rsidR="0064464F" w:rsidRPr="00E81A6E" w:rsidRDefault="0064464F" w:rsidP="00F55B06">
      <w:pPr>
        <w:spacing w:after="0" w:line="240" w:lineRule="auto"/>
        <w:ind w:firstLine="720"/>
        <w:contextualSpacing/>
        <w:jc w:val="both"/>
        <w:rPr>
          <w:rFonts w:ascii="Times New Roman" w:hAnsi="Times New Roman" w:cs="Times New Roman"/>
          <w:sz w:val="24"/>
          <w:szCs w:val="24"/>
          <w:lang w:val="ru-RU"/>
        </w:rPr>
      </w:pPr>
    </w:p>
    <w:p w14:paraId="178D6820" w14:textId="77777777" w:rsidR="00FD1B76" w:rsidRPr="00E81A6E" w:rsidRDefault="00FD1B76"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 бюджета за 2021г. са заложени да постъпят от местни такси 294,120,000 лв., в това число по основни видове такси, както следва:</w:t>
      </w:r>
    </w:p>
    <w:tbl>
      <w:tblPr>
        <w:tblW w:w="4920" w:type="pct"/>
        <w:tblInd w:w="2" w:type="dxa"/>
        <w:tblLook w:val="00A0" w:firstRow="1" w:lastRow="0" w:firstColumn="1" w:lastColumn="0" w:noHBand="0" w:noVBand="0"/>
      </w:tblPr>
      <w:tblGrid>
        <w:gridCol w:w="7350"/>
        <w:gridCol w:w="2136"/>
      </w:tblGrid>
      <w:tr w:rsidR="006F5B92" w:rsidRPr="00E81A6E" w14:paraId="0E504C0E" w14:textId="77777777">
        <w:tc>
          <w:tcPr>
            <w:tcW w:w="4170" w:type="pct"/>
            <w:tcBorders>
              <w:bottom w:val="single" w:sz="4" w:space="0" w:color="7F7F7F"/>
              <w:right w:val="nil"/>
            </w:tcBorders>
          </w:tcPr>
          <w:p w14:paraId="26E05E7B" w14:textId="77777777" w:rsidR="00FD1B76" w:rsidRPr="00E81A6E" w:rsidRDefault="00FD1B76" w:rsidP="00F55B06">
            <w:pPr>
              <w:spacing w:after="0" w:line="240" w:lineRule="auto"/>
              <w:ind w:firstLine="720"/>
              <w:contextualSpacing/>
              <w:rPr>
                <w:rFonts w:ascii="Times New Roman" w:hAnsi="Times New Roman" w:cs="Times New Roman"/>
                <w:sz w:val="24"/>
                <w:szCs w:val="24"/>
                <w:lang w:val="ru-RU"/>
              </w:rPr>
            </w:pPr>
          </w:p>
          <w:p w14:paraId="089559C5" w14:textId="77777777" w:rsidR="00FD1B76" w:rsidRPr="00E81A6E" w:rsidRDefault="00FD1B76" w:rsidP="00F55B06">
            <w:pPr>
              <w:spacing w:after="0" w:line="240" w:lineRule="auto"/>
              <w:ind w:firstLine="720"/>
              <w:contextualSpacing/>
              <w:jc w:val="center"/>
              <w:rPr>
                <w:rFonts w:ascii="Times New Roman" w:hAnsi="Times New Roman" w:cs="Times New Roman"/>
                <w:sz w:val="24"/>
                <w:szCs w:val="24"/>
                <w:lang w:val="ru-RU"/>
              </w:rPr>
            </w:pPr>
          </w:p>
          <w:p w14:paraId="64A1A02C" w14:textId="77777777" w:rsidR="006F5B92" w:rsidRPr="00E81A6E" w:rsidRDefault="006F5B92" w:rsidP="00F55B06">
            <w:pPr>
              <w:spacing w:after="0" w:line="240" w:lineRule="auto"/>
              <w:ind w:firstLine="720"/>
              <w:contextualSpacing/>
              <w:jc w:val="center"/>
              <w:rPr>
                <w:rFonts w:ascii="Times New Roman" w:hAnsi="Times New Roman" w:cs="Times New Roman"/>
                <w:b/>
                <w:bCs/>
                <w:caps/>
                <w:sz w:val="24"/>
                <w:szCs w:val="24"/>
              </w:rPr>
            </w:pPr>
            <w:r w:rsidRPr="00E81A6E">
              <w:rPr>
                <w:rFonts w:ascii="Times New Roman" w:hAnsi="Times New Roman" w:cs="Times New Roman"/>
                <w:b/>
                <w:bCs/>
                <w:sz w:val="24"/>
                <w:szCs w:val="24"/>
              </w:rPr>
              <w:t>Местни такси</w:t>
            </w:r>
          </w:p>
        </w:tc>
        <w:tc>
          <w:tcPr>
            <w:tcW w:w="830" w:type="pct"/>
            <w:tcBorders>
              <w:bottom w:val="single" w:sz="4" w:space="0" w:color="7F7F7F"/>
            </w:tcBorders>
          </w:tcPr>
          <w:p w14:paraId="278AAE5F" w14:textId="77777777" w:rsidR="006F5B92" w:rsidRPr="00E81A6E" w:rsidRDefault="006F5B92" w:rsidP="00F55B06">
            <w:pPr>
              <w:spacing w:after="0" w:line="240" w:lineRule="auto"/>
              <w:ind w:firstLine="720"/>
              <w:contextualSpacing/>
              <w:jc w:val="center"/>
              <w:rPr>
                <w:rFonts w:ascii="Times New Roman" w:hAnsi="Times New Roman" w:cs="Times New Roman"/>
                <w:b/>
                <w:bCs/>
                <w:caps/>
                <w:sz w:val="24"/>
                <w:szCs w:val="24"/>
              </w:rPr>
            </w:pPr>
            <w:r w:rsidRPr="00E81A6E">
              <w:rPr>
                <w:rFonts w:ascii="Times New Roman" w:hAnsi="Times New Roman" w:cs="Times New Roman"/>
                <w:b/>
                <w:bCs/>
                <w:sz w:val="24"/>
                <w:szCs w:val="24"/>
              </w:rPr>
              <w:t>Планиран приход (лева)</w:t>
            </w:r>
          </w:p>
        </w:tc>
      </w:tr>
      <w:tr w:rsidR="006F5B92" w:rsidRPr="00E81A6E" w14:paraId="7261C88B" w14:textId="77777777">
        <w:tc>
          <w:tcPr>
            <w:tcW w:w="4170" w:type="pct"/>
            <w:tcBorders>
              <w:right w:val="single" w:sz="4" w:space="0" w:color="7F7F7F"/>
            </w:tcBorders>
            <w:shd w:val="clear" w:color="auto" w:fill="F2F2F2"/>
          </w:tcPr>
          <w:p w14:paraId="39826AE3"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Битови отпадъци</w:t>
            </w:r>
          </w:p>
        </w:tc>
        <w:tc>
          <w:tcPr>
            <w:tcW w:w="830" w:type="pct"/>
            <w:shd w:val="clear" w:color="auto" w:fill="F2F2F2"/>
          </w:tcPr>
          <w:p w14:paraId="5B4B49F9"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2</w:t>
            </w:r>
            <w:r w:rsidR="00B75E23" w:rsidRPr="00E81A6E">
              <w:rPr>
                <w:rFonts w:ascii="Times New Roman" w:hAnsi="Times New Roman" w:cs="Times New Roman"/>
                <w:sz w:val="24"/>
                <w:szCs w:val="24"/>
                <w:lang w:val="bg-BG"/>
              </w:rPr>
              <w:t>2</w:t>
            </w:r>
            <w:r w:rsidR="00DC1CB0" w:rsidRPr="00E81A6E">
              <w:rPr>
                <w:rFonts w:ascii="Times New Roman" w:hAnsi="Times New Roman" w:cs="Times New Roman"/>
                <w:sz w:val="24"/>
                <w:szCs w:val="24"/>
                <w:lang w:val="bg-BG"/>
              </w:rPr>
              <w:t>9</w:t>
            </w:r>
            <w:r w:rsidRPr="00E81A6E">
              <w:rPr>
                <w:rFonts w:ascii="Times New Roman" w:hAnsi="Times New Roman" w:cs="Times New Roman"/>
                <w:sz w:val="24"/>
                <w:szCs w:val="24"/>
              </w:rPr>
              <w:t>,000,000</w:t>
            </w:r>
          </w:p>
        </w:tc>
      </w:tr>
      <w:tr w:rsidR="006F5B92" w:rsidRPr="00E81A6E" w14:paraId="46257C4A" w14:textId="77777777">
        <w:tc>
          <w:tcPr>
            <w:tcW w:w="4170" w:type="pct"/>
            <w:tcBorders>
              <w:right w:val="single" w:sz="4" w:space="0" w:color="7F7F7F"/>
            </w:tcBorders>
          </w:tcPr>
          <w:p w14:paraId="2C577CB3"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Ползване на пазари, тържища, панаири, тротоари, площади и улични</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платна</w:t>
            </w:r>
          </w:p>
        </w:tc>
        <w:tc>
          <w:tcPr>
            <w:tcW w:w="830" w:type="pct"/>
          </w:tcPr>
          <w:p w14:paraId="3357B0C6"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lang w:val="bg-BG"/>
              </w:rPr>
              <w:t>4</w:t>
            </w:r>
            <w:r w:rsidRPr="00E81A6E">
              <w:rPr>
                <w:rFonts w:ascii="Times New Roman" w:hAnsi="Times New Roman" w:cs="Times New Roman"/>
                <w:sz w:val="24"/>
                <w:szCs w:val="24"/>
              </w:rPr>
              <w:t>,500,000</w:t>
            </w:r>
          </w:p>
        </w:tc>
      </w:tr>
      <w:tr w:rsidR="006F5B92" w:rsidRPr="00E81A6E" w14:paraId="6538B216" w14:textId="77777777">
        <w:tc>
          <w:tcPr>
            <w:tcW w:w="4170" w:type="pct"/>
            <w:tcBorders>
              <w:right w:val="single" w:sz="4" w:space="0" w:color="7F7F7F"/>
            </w:tcBorders>
            <w:shd w:val="clear" w:color="auto" w:fill="F2F2F2"/>
          </w:tcPr>
          <w:p w14:paraId="271DECFD"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Ползване на детски градини</w:t>
            </w:r>
          </w:p>
        </w:tc>
        <w:tc>
          <w:tcPr>
            <w:tcW w:w="830" w:type="pct"/>
            <w:shd w:val="clear" w:color="auto" w:fill="F2F2F2"/>
          </w:tcPr>
          <w:p w14:paraId="4219720A"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lang w:val="ru-RU"/>
              </w:rPr>
            </w:pPr>
            <w:r w:rsidRPr="00E81A6E">
              <w:rPr>
                <w:rFonts w:ascii="Times New Roman" w:hAnsi="Times New Roman" w:cs="Times New Roman"/>
                <w:sz w:val="24"/>
                <w:szCs w:val="24"/>
              </w:rPr>
              <w:t>17,</w:t>
            </w:r>
            <w:r w:rsidR="00DC1CB0" w:rsidRPr="00E81A6E">
              <w:rPr>
                <w:rFonts w:ascii="Times New Roman" w:hAnsi="Times New Roman" w:cs="Times New Roman"/>
                <w:sz w:val="24"/>
                <w:szCs w:val="24"/>
                <w:lang w:val="bg-BG"/>
              </w:rPr>
              <w:t>556</w:t>
            </w:r>
            <w:r w:rsidRPr="00E81A6E">
              <w:rPr>
                <w:rFonts w:ascii="Times New Roman" w:hAnsi="Times New Roman" w:cs="Times New Roman"/>
                <w:sz w:val="24"/>
                <w:szCs w:val="24"/>
              </w:rPr>
              <w:t>,000</w:t>
            </w:r>
          </w:p>
        </w:tc>
      </w:tr>
      <w:tr w:rsidR="006F5B92" w:rsidRPr="00E81A6E" w14:paraId="7491E5EB" w14:textId="77777777">
        <w:tc>
          <w:tcPr>
            <w:tcW w:w="4170" w:type="pct"/>
            <w:tcBorders>
              <w:right w:val="single" w:sz="4" w:space="0" w:color="7F7F7F"/>
            </w:tcBorders>
          </w:tcPr>
          <w:p w14:paraId="4B14E8A2"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Ползване на общежития и др. по образованието</w:t>
            </w:r>
          </w:p>
        </w:tc>
        <w:tc>
          <w:tcPr>
            <w:tcW w:w="830" w:type="pct"/>
          </w:tcPr>
          <w:p w14:paraId="7C2D653E"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4,</w:t>
            </w:r>
            <w:r w:rsidR="00DC1CB0" w:rsidRPr="00E81A6E">
              <w:rPr>
                <w:rFonts w:ascii="Times New Roman" w:hAnsi="Times New Roman" w:cs="Times New Roman"/>
                <w:sz w:val="24"/>
                <w:szCs w:val="24"/>
                <w:lang w:val="bg-BG"/>
              </w:rPr>
              <w:t>0</w:t>
            </w:r>
            <w:r w:rsidRPr="00E81A6E">
              <w:rPr>
                <w:rFonts w:ascii="Times New Roman" w:hAnsi="Times New Roman" w:cs="Times New Roman"/>
                <w:sz w:val="24"/>
                <w:szCs w:val="24"/>
              </w:rPr>
              <w:t>00</w:t>
            </w:r>
          </w:p>
        </w:tc>
      </w:tr>
      <w:tr w:rsidR="006F5B92" w:rsidRPr="00E81A6E" w14:paraId="1C422B1A" w14:textId="77777777">
        <w:tc>
          <w:tcPr>
            <w:tcW w:w="4170" w:type="pct"/>
            <w:tcBorders>
              <w:right w:val="single" w:sz="4" w:space="0" w:color="7F7F7F"/>
            </w:tcBorders>
            <w:shd w:val="clear" w:color="auto" w:fill="F2F2F2"/>
          </w:tcPr>
          <w:p w14:paraId="1C2E65E1"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Ползване на детски ясли и др. по здравеопазването</w:t>
            </w:r>
          </w:p>
        </w:tc>
        <w:tc>
          <w:tcPr>
            <w:tcW w:w="830" w:type="pct"/>
            <w:shd w:val="clear" w:color="auto" w:fill="F2F2F2"/>
          </w:tcPr>
          <w:p w14:paraId="3B0725CE"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2,</w:t>
            </w:r>
            <w:r w:rsidR="00AB0751" w:rsidRPr="00E81A6E">
              <w:rPr>
                <w:rFonts w:ascii="Times New Roman" w:hAnsi="Times New Roman" w:cs="Times New Roman"/>
                <w:sz w:val="24"/>
                <w:szCs w:val="24"/>
                <w:lang w:val="bg-BG"/>
              </w:rPr>
              <w:t>6</w:t>
            </w:r>
            <w:r w:rsidRPr="00E81A6E">
              <w:rPr>
                <w:rFonts w:ascii="Times New Roman" w:hAnsi="Times New Roman" w:cs="Times New Roman"/>
                <w:sz w:val="24"/>
                <w:szCs w:val="24"/>
              </w:rPr>
              <w:t>00,000</w:t>
            </w:r>
          </w:p>
        </w:tc>
      </w:tr>
      <w:tr w:rsidR="006F5B92" w:rsidRPr="00E81A6E" w14:paraId="484827D5" w14:textId="77777777">
        <w:tc>
          <w:tcPr>
            <w:tcW w:w="4170" w:type="pct"/>
            <w:tcBorders>
              <w:right w:val="single" w:sz="4" w:space="0" w:color="7F7F7F"/>
            </w:tcBorders>
          </w:tcPr>
          <w:p w14:paraId="317C4110"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Социални услуги</w:t>
            </w:r>
          </w:p>
        </w:tc>
        <w:tc>
          <w:tcPr>
            <w:tcW w:w="830" w:type="pct"/>
          </w:tcPr>
          <w:p w14:paraId="06D8DAA2"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1,</w:t>
            </w:r>
            <w:r w:rsidR="00AB0751" w:rsidRPr="00E81A6E">
              <w:rPr>
                <w:rFonts w:ascii="Times New Roman" w:hAnsi="Times New Roman" w:cs="Times New Roman"/>
                <w:sz w:val="24"/>
                <w:szCs w:val="24"/>
                <w:lang w:val="bg-BG"/>
              </w:rPr>
              <w:t>40</w:t>
            </w:r>
            <w:r w:rsidRPr="00E81A6E">
              <w:rPr>
                <w:rFonts w:ascii="Times New Roman" w:hAnsi="Times New Roman" w:cs="Times New Roman"/>
                <w:sz w:val="24"/>
                <w:szCs w:val="24"/>
              </w:rPr>
              <w:t>0,000</w:t>
            </w:r>
          </w:p>
        </w:tc>
      </w:tr>
      <w:tr w:rsidR="006F5B92" w:rsidRPr="00E81A6E" w14:paraId="5590ED13" w14:textId="77777777">
        <w:tc>
          <w:tcPr>
            <w:tcW w:w="4170" w:type="pct"/>
            <w:tcBorders>
              <w:right w:val="single" w:sz="4" w:space="0" w:color="7F7F7F"/>
            </w:tcBorders>
            <w:shd w:val="clear" w:color="auto" w:fill="F2F2F2"/>
          </w:tcPr>
          <w:p w14:paraId="132CEBF3"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Административни услуги</w:t>
            </w:r>
          </w:p>
        </w:tc>
        <w:tc>
          <w:tcPr>
            <w:tcW w:w="830" w:type="pct"/>
            <w:shd w:val="clear" w:color="auto" w:fill="F2F2F2"/>
          </w:tcPr>
          <w:p w14:paraId="3D648D63" w14:textId="77777777" w:rsidR="006F5B92" w:rsidRPr="00E81A6E" w:rsidRDefault="00C94466"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lang w:val="bg-BG"/>
              </w:rPr>
              <w:t>6</w:t>
            </w:r>
            <w:r w:rsidR="006F5B92" w:rsidRPr="00E81A6E">
              <w:rPr>
                <w:rFonts w:ascii="Times New Roman" w:hAnsi="Times New Roman" w:cs="Times New Roman"/>
                <w:sz w:val="24"/>
                <w:szCs w:val="24"/>
              </w:rPr>
              <w:t>,</w:t>
            </w:r>
            <w:r w:rsidRPr="00E81A6E">
              <w:rPr>
                <w:rFonts w:ascii="Times New Roman" w:hAnsi="Times New Roman" w:cs="Times New Roman"/>
                <w:sz w:val="24"/>
                <w:szCs w:val="24"/>
                <w:lang w:val="bg-BG"/>
              </w:rPr>
              <w:t>5</w:t>
            </w:r>
            <w:r w:rsidR="006F5B92" w:rsidRPr="00E81A6E">
              <w:rPr>
                <w:rFonts w:ascii="Times New Roman" w:hAnsi="Times New Roman" w:cs="Times New Roman"/>
                <w:sz w:val="24"/>
                <w:szCs w:val="24"/>
              </w:rPr>
              <w:t>00,000</w:t>
            </w:r>
          </w:p>
        </w:tc>
      </w:tr>
      <w:tr w:rsidR="006F5B92" w:rsidRPr="00E81A6E" w14:paraId="7DAA932E" w14:textId="77777777">
        <w:tc>
          <w:tcPr>
            <w:tcW w:w="4170" w:type="pct"/>
            <w:tcBorders>
              <w:right w:val="single" w:sz="4" w:space="0" w:color="7F7F7F"/>
            </w:tcBorders>
          </w:tcPr>
          <w:p w14:paraId="33E3D123"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lastRenderedPageBreak/>
              <w:t>Технически услуги</w:t>
            </w:r>
          </w:p>
        </w:tc>
        <w:tc>
          <w:tcPr>
            <w:tcW w:w="830" w:type="pct"/>
          </w:tcPr>
          <w:p w14:paraId="45DB0062"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3</w:t>
            </w:r>
            <w:r w:rsidR="00AB0751" w:rsidRPr="00E81A6E">
              <w:rPr>
                <w:rFonts w:ascii="Times New Roman" w:hAnsi="Times New Roman" w:cs="Times New Roman"/>
                <w:sz w:val="24"/>
                <w:szCs w:val="24"/>
                <w:lang w:val="bg-BG"/>
              </w:rPr>
              <w:t>0</w:t>
            </w:r>
            <w:r w:rsidRPr="00E81A6E">
              <w:rPr>
                <w:rFonts w:ascii="Times New Roman" w:hAnsi="Times New Roman" w:cs="Times New Roman"/>
                <w:sz w:val="24"/>
                <w:szCs w:val="24"/>
              </w:rPr>
              <w:t>,0</w:t>
            </w:r>
            <w:r w:rsidRPr="00E81A6E">
              <w:rPr>
                <w:rFonts w:ascii="Times New Roman" w:hAnsi="Times New Roman" w:cs="Times New Roman"/>
                <w:sz w:val="24"/>
                <w:szCs w:val="24"/>
                <w:lang w:val="bg-BG"/>
              </w:rPr>
              <w:t>0</w:t>
            </w:r>
            <w:r w:rsidRPr="00E81A6E">
              <w:rPr>
                <w:rFonts w:ascii="Times New Roman" w:hAnsi="Times New Roman" w:cs="Times New Roman"/>
                <w:sz w:val="24"/>
                <w:szCs w:val="24"/>
              </w:rPr>
              <w:t>0,000</w:t>
            </w:r>
          </w:p>
        </w:tc>
      </w:tr>
      <w:tr w:rsidR="006F5B92" w:rsidRPr="00E81A6E" w14:paraId="46C5ED2B" w14:textId="77777777">
        <w:tc>
          <w:tcPr>
            <w:tcW w:w="4170" w:type="pct"/>
            <w:tcBorders>
              <w:right w:val="single" w:sz="4" w:space="0" w:color="7F7F7F"/>
            </w:tcBorders>
            <w:shd w:val="clear" w:color="auto" w:fill="F2F2F2"/>
          </w:tcPr>
          <w:p w14:paraId="13DD34EA"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Откупуване на гробни места</w:t>
            </w:r>
          </w:p>
        </w:tc>
        <w:tc>
          <w:tcPr>
            <w:tcW w:w="830" w:type="pct"/>
            <w:shd w:val="clear" w:color="auto" w:fill="F2F2F2"/>
          </w:tcPr>
          <w:p w14:paraId="2843A962"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1,4</w:t>
            </w:r>
            <w:r w:rsidRPr="00E81A6E">
              <w:rPr>
                <w:rFonts w:ascii="Times New Roman" w:hAnsi="Times New Roman" w:cs="Times New Roman"/>
                <w:sz w:val="24"/>
                <w:szCs w:val="24"/>
                <w:lang w:val="bg-BG"/>
              </w:rPr>
              <w:t>00</w:t>
            </w:r>
            <w:r w:rsidRPr="00E81A6E">
              <w:rPr>
                <w:rFonts w:ascii="Times New Roman" w:hAnsi="Times New Roman" w:cs="Times New Roman"/>
                <w:sz w:val="24"/>
                <w:szCs w:val="24"/>
              </w:rPr>
              <w:t>,000</w:t>
            </w:r>
          </w:p>
        </w:tc>
      </w:tr>
      <w:tr w:rsidR="006F5B92" w:rsidRPr="00E81A6E" w14:paraId="7564D85B" w14:textId="77777777">
        <w:tc>
          <w:tcPr>
            <w:tcW w:w="4170" w:type="pct"/>
            <w:tcBorders>
              <w:right w:val="single" w:sz="4" w:space="0" w:color="7F7F7F"/>
            </w:tcBorders>
          </w:tcPr>
          <w:p w14:paraId="322858EC"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Такса за притежаване на куче</w:t>
            </w:r>
          </w:p>
        </w:tc>
        <w:tc>
          <w:tcPr>
            <w:tcW w:w="830" w:type="pct"/>
          </w:tcPr>
          <w:p w14:paraId="50E82874"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lang w:val="bg-BG"/>
              </w:rPr>
              <w:t>1</w:t>
            </w:r>
            <w:r w:rsidR="00C94466" w:rsidRPr="00E81A6E">
              <w:rPr>
                <w:rFonts w:ascii="Times New Roman" w:hAnsi="Times New Roman" w:cs="Times New Roman"/>
                <w:sz w:val="24"/>
                <w:szCs w:val="24"/>
                <w:lang w:val="bg-BG"/>
              </w:rPr>
              <w:t>6</w:t>
            </w:r>
            <w:r w:rsidRPr="00E81A6E">
              <w:rPr>
                <w:rFonts w:ascii="Times New Roman" w:hAnsi="Times New Roman" w:cs="Times New Roman"/>
                <w:sz w:val="24"/>
                <w:szCs w:val="24"/>
              </w:rPr>
              <w:t>0,000</w:t>
            </w:r>
          </w:p>
        </w:tc>
      </w:tr>
      <w:tr w:rsidR="006F5B92" w:rsidRPr="00E81A6E" w14:paraId="273D1E66" w14:textId="77777777">
        <w:tc>
          <w:tcPr>
            <w:tcW w:w="4170" w:type="pct"/>
            <w:tcBorders>
              <w:right w:val="single" w:sz="4" w:space="0" w:color="7F7F7F"/>
            </w:tcBorders>
            <w:shd w:val="clear" w:color="auto" w:fill="F2F2F2"/>
          </w:tcPr>
          <w:p w14:paraId="38CD22AE" w14:textId="77777777" w:rsidR="006F5B92" w:rsidRPr="00E81A6E" w:rsidRDefault="006F5B92" w:rsidP="0064464F">
            <w:pPr>
              <w:spacing w:after="0" w:line="240" w:lineRule="auto"/>
              <w:contextualSpacing/>
              <w:jc w:val="both"/>
              <w:rPr>
                <w:rFonts w:ascii="Times New Roman" w:hAnsi="Times New Roman" w:cs="Times New Roman"/>
                <w:b/>
                <w:bCs/>
                <w:caps/>
                <w:sz w:val="24"/>
                <w:szCs w:val="24"/>
              </w:rPr>
            </w:pPr>
            <w:r w:rsidRPr="00E81A6E">
              <w:rPr>
                <w:rFonts w:ascii="Times New Roman" w:hAnsi="Times New Roman" w:cs="Times New Roman"/>
                <w:sz w:val="24"/>
                <w:szCs w:val="24"/>
              </w:rPr>
              <w:t>Други общински такси</w:t>
            </w:r>
          </w:p>
        </w:tc>
        <w:tc>
          <w:tcPr>
            <w:tcW w:w="830" w:type="pct"/>
            <w:shd w:val="clear" w:color="auto" w:fill="F2F2F2"/>
          </w:tcPr>
          <w:p w14:paraId="30B83E5C"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rPr>
            </w:pPr>
            <w:r w:rsidRPr="00E81A6E">
              <w:rPr>
                <w:rFonts w:ascii="Times New Roman" w:hAnsi="Times New Roman" w:cs="Times New Roman"/>
                <w:sz w:val="24"/>
                <w:szCs w:val="24"/>
              </w:rPr>
              <w:t>1,</w:t>
            </w:r>
            <w:r w:rsidR="00C94466" w:rsidRPr="00E81A6E">
              <w:rPr>
                <w:rFonts w:ascii="Times New Roman" w:hAnsi="Times New Roman" w:cs="Times New Roman"/>
                <w:sz w:val="24"/>
                <w:szCs w:val="24"/>
                <w:lang w:val="bg-BG"/>
              </w:rPr>
              <w:t>0</w:t>
            </w:r>
            <w:r w:rsidRPr="00E81A6E">
              <w:rPr>
                <w:rFonts w:ascii="Times New Roman" w:hAnsi="Times New Roman" w:cs="Times New Roman"/>
                <w:sz w:val="24"/>
                <w:szCs w:val="24"/>
              </w:rPr>
              <w:t>00,000</w:t>
            </w:r>
          </w:p>
        </w:tc>
      </w:tr>
    </w:tbl>
    <w:p w14:paraId="6EC3F3C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p>
    <w:p w14:paraId="6E6B6F5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 оглед осигуряване на разходите по предоставяне на услугите по сметосъбиране и сметоизвозване, обезвреждане на битовите отпадъци в депа или други съор</w:t>
      </w:r>
      <w:r w:rsidRPr="00E81A6E">
        <w:rPr>
          <w:rFonts w:ascii="Times New Roman" w:hAnsi="Times New Roman" w:cs="Times New Roman"/>
          <w:sz w:val="24"/>
          <w:szCs w:val="24"/>
          <w:lang w:val="bg-BG"/>
        </w:rPr>
        <w:t>ъ</w:t>
      </w:r>
      <w:r w:rsidRPr="00E81A6E">
        <w:rPr>
          <w:rFonts w:ascii="Times New Roman" w:hAnsi="Times New Roman" w:cs="Times New Roman"/>
          <w:sz w:val="24"/>
          <w:szCs w:val="24"/>
          <w:lang w:val="ru-RU"/>
        </w:rPr>
        <w:t xml:space="preserve">жения и поддържане териториите за обществено ползване през </w:t>
      </w:r>
      <w:r w:rsidRPr="00E81A6E">
        <w:rPr>
          <w:rFonts w:ascii="Times New Roman" w:hAnsi="Times New Roman" w:cs="Times New Roman"/>
          <w:sz w:val="24"/>
          <w:szCs w:val="24"/>
          <w:lang w:val="bg-BG"/>
        </w:rPr>
        <w:t>20</w:t>
      </w:r>
      <w:r w:rsidR="00C94466" w:rsidRPr="00E81A6E">
        <w:rPr>
          <w:rFonts w:ascii="Times New Roman" w:hAnsi="Times New Roman" w:cs="Times New Roman"/>
          <w:sz w:val="24"/>
          <w:szCs w:val="24"/>
          <w:lang w:val="bg-BG"/>
        </w:rPr>
        <w:t>2</w:t>
      </w:r>
      <w:r w:rsidR="00AB0751" w:rsidRPr="00E81A6E">
        <w:rPr>
          <w:rFonts w:ascii="Times New Roman" w:hAnsi="Times New Roman" w:cs="Times New Roman"/>
          <w:sz w:val="24"/>
          <w:szCs w:val="24"/>
          <w:lang w:val="bg-BG"/>
        </w:rPr>
        <w:t>1</w:t>
      </w:r>
      <w:r w:rsidRPr="00E81A6E">
        <w:rPr>
          <w:rFonts w:ascii="Times New Roman" w:hAnsi="Times New Roman" w:cs="Times New Roman"/>
          <w:sz w:val="24"/>
          <w:szCs w:val="24"/>
          <w:lang w:val="ru-RU"/>
        </w:rPr>
        <w:t xml:space="preserve"> годин</w:t>
      </w:r>
      <w:r w:rsidRPr="00E81A6E">
        <w:rPr>
          <w:rFonts w:ascii="Times New Roman" w:hAnsi="Times New Roman" w:cs="Times New Roman"/>
          <w:sz w:val="24"/>
          <w:szCs w:val="24"/>
          <w:lang w:val="bg-BG"/>
        </w:rPr>
        <w:t>а</w:t>
      </w:r>
      <w:r w:rsidRPr="00E81A6E">
        <w:rPr>
          <w:rFonts w:ascii="Times New Roman" w:hAnsi="Times New Roman" w:cs="Times New Roman"/>
          <w:sz w:val="24"/>
          <w:szCs w:val="24"/>
          <w:lang w:val="ru-RU"/>
        </w:rPr>
        <w:t>, се планират приходи от таксата за битови отпадъци на база изпълнението за 20</w:t>
      </w:r>
      <w:r w:rsidR="00335A58" w:rsidRPr="00E81A6E">
        <w:rPr>
          <w:rFonts w:ascii="Times New Roman" w:hAnsi="Times New Roman" w:cs="Times New Roman"/>
          <w:sz w:val="24"/>
          <w:szCs w:val="24"/>
          <w:lang w:val="ru-RU"/>
        </w:rPr>
        <w:t>20</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Ще се </w:t>
      </w:r>
      <w:r w:rsidRPr="00E81A6E">
        <w:rPr>
          <w:rFonts w:ascii="Times New Roman" w:hAnsi="Times New Roman" w:cs="Times New Roman"/>
          <w:sz w:val="24"/>
          <w:szCs w:val="24"/>
          <w:lang w:val="bg-BG"/>
        </w:rPr>
        <w:t>работи за</w:t>
      </w:r>
      <w:r w:rsidRPr="00E81A6E">
        <w:rPr>
          <w:rFonts w:ascii="Times New Roman" w:hAnsi="Times New Roman" w:cs="Times New Roman"/>
          <w:sz w:val="24"/>
          <w:szCs w:val="24"/>
          <w:lang w:val="ru-RU"/>
        </w:rPr>
        <w:t xml:space="preserve"> осигуряване на по-добра събираемост</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както от текущите задължения за съответната година, така и от задълженията за предходни години. </w:t>
      </w:r>
    </w:p>
    <w:p w14:paraId="2A9AF482"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Проектобюджетът за 20</w:t>
      </w:r>
      <w:r w:rsidR="0038422B" w:rsidRPr="00E81A6E">
        <w:rPr>
          <w:rFonts w:ascii="Times New Roman" w:hAnsi="Times New Roman" w:cs="Times New Roman"/>
          <w:sz w:val="24"/>
          <w:szCs w:val="24"/>
          <w:lang w:val="ru-RU"/>
        </w:rPr>
        <w:t>2</w:t>
      </w:r>
      <w:r w:rsidR="00AB0751"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предвижда следните други приходи:</w:t>
      </w:r>
    </w:p>
    <w:p w14:paraId="15A2F6F8" w14:textId="77777777" w:rsidR="006F5B92" w:rsidRPr="00E81A6E" w:rsidRDefault="006F5B92" w:rsidP="00350B12">
      <w:pPr>
        <w:pStyle w:val="ListParagraph"/>
        <w:numPr>
          <w:ilvl w:val="0"/>
          <w:numId w:val="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Глоби, санкции и наказателни лихви </w:t>
      </w:r>
      <w:r w:rsidRPr="00E81A6E">
        <w:rPr>
          <w:rFonts w:ascii="Times New Roman" w:hAnsi="Times New Roman" w:cs="Times New Roman"/>
          <w:sz w:val="24"/>
          <w:szCs w:val="24"/>
          <w:lang w:val="bg-BG"/>
        </w:rPr>
        <w:t>2</w:t>
      </w:r>
      <w:r w:rsidRPr="00E81A6E">
        <w:rPr>
          <w:rFonts w:ascii="Times New Roman" w:hAnsi="Times New Roman" w:cs="Times New Roman"/>
          <w:sz w:val="24"/>
          <w:szCs w:val="24"/>
          <w:lang w:val="ru-RU"/>
        </w:rPr>
        <w:t>6,000,000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С</w:t>
      </w:r>
      <w:r w:rsidRPr="00E81A6E">
        <w:rPr>
          <w:rFonts w:ascii="Times New Roman" w:hAnsi="Times New Roman" w:cs="Times New Roman"/>
          <w:sz w:val="24"/>
          <w:szCs w:val="24"/>
          <w:lang w:val="bg-BG"/>
        </w:rPr>
        <w:t>ъгласно</w:t>
      </w:r>
      <w:r w:rsidRPr="00E81A6E">
        <w:rPr>
          <w:rFonts w:ascii="Times New Roman" w:hAnsi="Times New Roman" w:cs="Times New Roman"/>
          <w:sz w:val="24"/>
          <w:szCs w:val="24"/>
          <w:lang w:val="ru-RU"/>
        </w:rPr>
        <w:t xml:space="preserve"> ДДС №12 от 2011</w:t>
      </w:r>
      <w:r w:rsidR="00AC52E9" w:rsidRPr="00E81A6E">
        <w:rPr>
          <w:rFonts w:ascii="Times New Roman" w:hAnsi="Times New Roman" w:cs="Times New Roman"/>
          <w:sz w:val="24"/>
          <w:szCs w:val="24"/>
          <w:lang w:val="ru-RU"/>
        </w:rPr>
        <w:t>г.</w:t>
      </w:r>
      <w:r w:rsidRPr="00E81A6E">
        <w:rPr>
          <w:rFonts w:ascii="Times New Roman" w:hAnsi="Times New Roman" w:cs="Times New Roman"/>
          <w:sz w:val="24"/>
          <w:szCs w:val="24"/>
          <w:lang w:val="ru-RU"/>
        </w:rPr>
        <w:t>, т.24 лихвите за просрочие на местните данъци и такса за битови отпадъци се отнасят към параграф «Глоби, санкции и наказателни лихви». Лихвите за просрочие зависят от размера на събраните стари задължения за данъци и такса за битови отпадъци и от периода, за който се отнася съответното задължение, поради което е трудно да бъдат прогнозирани.</w:t>
      </w:r>
    </w:p>
    <w:p w14:paraId="27E95678" w14:textId="77777777" w:rsidR="006F5B92" w:rsidRPr="00E81A6E" w:rsidRDefault="006F5B92" w:rsidP="00350B12">
      <w:pPr>
        <w:pStyle w:val="ListParagraph"/>
        <w:numPr>
          <w:ilvl w:val="0"/>
          <w:numId w:val="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Други неданъчни приходи 1,</w:t>
      </w:r>
      <w:r w:rsidR="00AB0751"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По този приходен параграф постъпват приходи </w:t>
      </w:r>
      <w:r w:rsidR="00431F15" w:rsidRPr="00E81A6E">
        <w:rPr>
          <w:rFonts w:ascii="Times New Roman" w:hAnsi="Times New Roman" w:cs="Times New Roman"/>
          <w:sz w:val="24"/>
          <w:szCs w:val="24"/>
          <w:lang w:val="ru-RU"/>
        </w:rPr>
        <w:t xml:space="preserve">от застрахователни обезщетения, </w:t>
      </w:r>
      <w:r w:rsidRPr="00E81A6E">
        <w:rPr>
          <w:rFonts w:ascii="Times New Roman" w:hAnsi="Times New Roman" w:cs="Times New Roman"/>
          <w:sz w:val="24"/>
          <w:szCs w:val="24"/>
          <w:lang w:val="bg-BG"/>
        </w:rPr>
        <w:t xml:space="preserve">постъпили средства от предаване на вторични суровини, режийни разноски при продажба на общински имоти </w:t>
      </w:r>
      <w:r w:rsidRPr="00E81A6E">
        <w:rPr>
          <w:rFonts w:ascii="Times New Roman" w:hAnsi="Times New Roman" w:cs="Times New Roman"/>
          <w:sz w:val="24"/>
          <w:szCs w:val="24"/>
          <w:lang w:val="ru-RU"/>
        </w:rPr>
        <w:t xml:space="preserve">и др. </w:t>
      </w:r>
      <w:r w:rsidRPr="00E81A6E">
        <w:rPr>
          <w:rFonts w:ascii="Times New Roman" w:hAnsi="Times New Roman" w:cs="Times New Roman"/>
          <w:sz w:val="24"/>
          <w:szCs w:val="24"/>
          <w:lang w:val="bg-BG"/>
        </w:rPr>
        <w:t>С постъпилите застрахователни обезщетения и някои други неданъчни приходи, които не могат да бъдат предвидени с първоначалния бюджет, се завишава приходната част на бюджета на общината през годината.</w:t>
      </w:r>
    </w:p>
    <w:p w14:paraId="3DA71349" w14:textId="77777777" w:rsidR="006F5B92" w:rsidRPr="00E81A6E" w:rsidRDefault="006F5B92" w:rsidP="00350B12">
      <w:pPr>
        <w:pStyle w:val="ListParagraph"/>
        <w:numPr>
          <w:ilvl w:val="0"/>
          <w:numId w:val="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Разчетени са</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2,</w:t>
      </w:r>
      <w:r w:rsidR="00AB0751"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корпоративен данък /2 процента върху приходите от дейности, с характер стопански/ и </w:t>
      </w:r>
      <w:r w:rsidR="00AB0751"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AB0751"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ДДС, които са отразени със знак (-) в приходната част на бюджета.</w:t>
      </w:r>
      <w:r w:rsidRPr="00E81A6E">
        <w:rPr>
          <w:rFonts w:ascii="Times New Roman" w:hAnsi="Times New Roman" w:cs="Times New Roman"/>
          <w:sz w:val="24"/>
          <w:szCs w:val="24"/>
          <w:lang w:val="bg-BG"/>
        </w:rPr>
        <w:t xml:space="preserve"> </w:t>
      </w:r>
    </w:p>
    <w:p w14:paraId="4D9B9B41" w14:textId="77777777" w:rsidR="00AB0751" w:rsidRPr="00E81A6E" w:rsidRDefault="006F5B92" w:rsidP="00350B12">
      <w:pPr>
        <w:pStyle w:val="ListParagraph"/>
        <w:numPr>
          <w:ilvl w:val="0"/>
          <w:numId w:val="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От продажба на нефинансови активи </w:t>
      </w:r>
      <w:r w:rsidR="00AB0751" w:rsidRPr="00E81A6E">
        <w:rPr>
          <w:rFonts w:ascii="Times New Roman" w:hAnsi="Times New Roman" w:cs="Times New Roman"/>
          <w:sz w:val="24"/>
          <w:szCs w:val="24"/>
          <w:lang w:val="ru-RU"/>
        </w:rPr>
        <w:t>22</w:t>
      </w:r>
      <w:r w:rsidRPr="00E81A6E">
        <w:rPr>
          <w:rFonts w:ascii="Times New Roman" w:hAnsi="Times New Roman" w:cs="Times New Roman"/>
          <w:sz w:val="24"/>
          <w:szCs w:val="24"/>
          <w:lang w:val="ru-RU"/>
        </w:rPr>
        <w:t>,</w:t>
      </w:r>
      <w:r w:rsidR="00AB0751" w:rsidRPr="00E81A6E">
        <w:rPr>
          <w:rFonts w:ascii="Times New Roman" w:hAnsi="Times New Roman" w:cs="Times New Roman"/>
          <w:sz w:val="24"/>
          <w:szCs w:val="24"/>
          <w:lang w:val="ru-RU"/>
        </w:rPr>
        <w:t>3</w:t>
      </w:r>
      <w:r w:rsidRPr="00E81A6E">
        <w:rPr>
          <w:rFonts w:ascii="Times New Roman" w:hAnsi="Times New Roman" w:cs="Times New Roman"/>
          <w:sz w:val="24"/>
          <w:szCs w:val="24"/>
          <w:lang w:val="bg-BG"/>
        </w:rPr>
        <w:t>00</w:t>
      </w:r>
      <w:r w:rsidRPr="00E81A6E">
        <w:rPr>
          <w:rFonts w:ascii="Times New Roman" w:hAnsi="Times New Roman" w:cs="Times New Roman"/>
          <w:sz w:val="24"/>
          <w:szCs w:val="24"/>
          <w:lang w:val="ru-RU"/>
        </w:rPr>
        <w:t>,000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9D773E" w:rsidRPr="00E81A6E">
        <w:rPr>
          <w:rFonts w:ascii="Times New Roman" w:hAnsi="Times New Roman" w:cs="Times New Roman"/>
          <w:sz w:val="24"/>
          <w:szCs w:val="24"/>
          <w:lang w:val="ru-RU"/>
        </w:rPr>
        <w:t xml:space="preserve"> </w:t>
      </w:r>
      <w:r w:rsidR="009D773E" w:rsidRPr="00E81A6E">
        <w:rPr>
          <w:rFonts w:ascii="Times New Roman" w:hAnsi="Times New Roman" w:cs="Times New Roman"/>
          <w:sz w:val="24"/>
          <w:szCs w:val="24"/>
          <w:lang w:val="bg-BG"/>
        </w:rPr>
        <w:t>В този приходен параграф се отразяват и постъпленията от приватизация на нефинансови активи.</w:t>
      </w:r>
      <w:r w:rsidRPr="00E81A6E">
        <w:rPr>
          <w:rFonts w:ascii="Times New Roman" w:hAnsi="Times New Roman" w:cs="Times New Roman"/>
          <w:sz w:val="24"/>
          <w:szCs w:val="24"/>
          <w:lang w:val="ru-RU"/>
        </w:rPr>
        <w:t xml:space="preserve"> </w:t>
      </w:r>
    </w:p>
    <w:p w14:paraId="659FEE3E"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В това число:</w:t>
      </w:r>
    </w:p>
    <w:p w14:paraId="4383B45D" w14:textId="77777777" w:rsidR="009D773E" w:rsidRPr="00E81A6E" w:rsidRDefault="00AB0751" w:rsidP="00350B12">
      <w:pPr>
        <w:numPr>
          <w:ilvl w:val="1"/>
          <w:numId w:val="5"/>
        </w:numPr>
        <w:spacing w:after="0" w:line="240" w:lineRule="auto"/>
        <w:ind w:left="0"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 xml:space="preserve">от </w:t>
      </w:r>
      <w:r w:rsidR="006F5B92" w:rsidRPr="00E81A6E">
        <w:rPr>
          <w:rFonts w:ascii="Times New Roman" w:hAnsi="Times New Roman" w:cs="Times New Roman"/>
          <w:sz w:val="24"/>
          <w:szCs w:val="24"/>
          <w:lang w:val="bg-BG"/>
        </w:rPr>
        <w:t xml:space="preserve">продажба на </w:t>
      </w:r>
      <w:r w:rsidR="006F5B92" w:rsidRPr="00E81A6E">
        <w:rPr>
          <w:rFonts w:ascii="Times New Roman" w:hAnsi="Times New Roman" w:cs="Times New Roman"/>
          <w:sz w:val="24"/>
          <w:szCs w:val="24"/>
          <w:lang w:val="ru-RU"/>
        </w:rPr>
        <w:t xml:space="preserve">сгради </w:t>
      </w:r>
      <w:r w:rsidR="006F5B92"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0</w:t>
      </w:r>
      <w:r w:rsidR="006F5B92" w:rsidRPr="00E81A6E">
        <w:rPr>
          <w:rFonts w:ascii="Times New Roman" w:hAnsi="Times New Roman" w:cs="Times New Roman"/>
          <w:sz w:val="24"/>
          <w:szCs w:val="24"/>
          <w:lang w:val="ru-RU"/>
        </w:rPr>
        <w:t>,</w:t>
      </w:r>
      <w:r w:rsidR="00DB7127" w:rsidRPr="00E81A6E">
        <w:rPr>
          <w:rFonts w:ascii="Times New Roman" w:hAnsi="Times New Roman" w:cs="Times New Roman"/>
          <w:sz w:val="24"/>
          <w:szCs w:val="24"/>
          <w:lang w:val="ru-RU"/>
        </w:rPr>
        <w:t>0</w:t>
      </w:r>
      <w:r w:rsidR="006F5B92"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6F5B92" w:rsidRPr="00E81A6E">
        <w:rPr>
          <w:rFonts w:ascii="Times New Roman" w:hAnsi="Times New Roman" w:cs="Times New Roman"/>
          <w:sz w:val="24"/>
          <w:szCs w:val="24"/>
          <w:lang w:val="ru-RU"/>
        </w:rPr>
        <w:t xml:space="preserve">; </w:t>
      </w:r>
    </w:p>
    <w:p w14:paraId="2EAB2695" w14:textId="77777777" w:rsidR="009D773E" w:rsidRPr="00E81A6E" w:rsidRDefault="00AB0751" w:rsidP="00350B12">
      <w:pPr>
        <w:numPr>
          <w:ilvl w:val="1"/>
          <w:numId w:val="5"/>
        </w:numPr>
        <w:spacing w:after="0" w:line="240" w:lineRule="auto"/>
        <w:ind w:left="0"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от </w:t>
      </w:r>
      <w:r w:rsidR="006F5B92" w:rsidRPr="00E81A6E">
        <w:rPr>
          <w:rFonts w:ascii="Times New Roman" w:hAnsi="Times New Roman" w:cs="Times New Roman"/>
          <w:sz w:val="24"/>
          <w:szCs w:val="24"/>
          <w:lang w:val="ru-RU"/>
        </w:rPr>
        <w:t xml:space="preserve">продажба на НМА /право на строеж/ </w:t>
      </w:r>
      <w:r w:rsidRPr="00E81A6E">
        <w:rPr>
          <w:rFonts w:ascii="Times New Roman" w:hAnsi="Times New Roman" w:cs="Times New Roman"/>
          <w:sz w:val="24"/>
          <w:szCs w:val="24"/>
          <w:lang w:val="ru-RU"/>
        </w:rPr>
        <w:t>3</w:t>
      </w:r>
      <w:r w:rsidR="006F5B92" w:rsidRPr="00E81A6E">
        <w:rPr>
          <w:rFonts w:ascii="Times New Roman" w:hAnsi="Times New Roman" w:cs="Times New Roman"/>
          <w:sz w:val="24"/>
          <w:szCs w:val="24"/>
          <w:lang w:val="bg-BG"/>
        </w:rPr>
        <w:t>00</w:t>
      </w:r>
      <w:r w:rsidR="006F5B92" w:rsidRPr="00E81A6E">
        <w:rPr>
          <w:rFonts w:ascii="Times New Roman" w:hAnsi="Times New Roman" w:cs="Times New Roman"/>
          <w:sz w:val="24"/>
          <w:szCs w:val="24"/>
          <w:lang w:val="ru-RU"/>
        </w:rPr>
        <w:t>,000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3117F2" w:rsidRPr="00E81A6E">
        <w:rPr>
          <w:rFonts w:ascii="Times New Roman" w:hAnsi="Times New Roman" w:cs="Times New Roman"/>
          <w:sz w:val="24"/>
          <w:szCs w:val="24"/>
          <w:lang w:val="ru-RU"/>
        </w:rPr>
        <w:t xml:space="preserve"> </w:t>
      </w:r>
      <w:r w:rsidR="006F5B92" w:rsidRPr="00E81A6E">
        <w:rPr>
          <w:rFonts w:ascii="Times New Roman" w:hAnsi="Times New Roman" w:cs="Times New Roman"/>
          <w:sz w:val="24"/>
          <w:szCs w:val="24"/>
          <w:lang w:val="ru-RU"/>
        </w:rPr>
        <w:t xml:space="preserve"> </w:t>
      </w:r>
    </w:p>
    <w:p w14:paraId="76F3F0F3" w14:textId="77777777" w:rsidR="006F5B92" w:rsidRPr="00E81A6E" w:rsidRDefault="00AB0751" w:rsidP="00350B12">
      <w:pPr>
        <w:numPr>
          <w:ilvl w:val="1"/>
          <w:numId w:val="5"/>
        </w:numPr>
        <w:spacing w:after="0" w:line="240" w:lineRule="auto"/>
        <w:ind w:left="0"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от </w:t>
      </w:r>
      <w:r w:rsidR="006F5B92" w:rsidRPr="00E81A6E">
        <w:rPr>
          <w:rFonts w:ascii="Times New Roman" w:hAnsi="Times New Roman" w:cs="Times New Roman"/>
          <w:sz w:val="24"/>
          <w:szCs w:val="24"/>
          <w:lang w:val="ru-RU"/>
        </w:rPr>
        <w:t xml:space="preserve">продажба на земя – </w:t>
      </w:r>
      <w:r w:rsidRPr="00E81A6E">
        <w:rPr>
          <w:rFonts w:ascii="Times New Roman" w:hAnsi="Times New Roman" w:cs="Times New Roman"/>
          <w:sz w:val="24"/>
          <w:szCs w:val="24"/>
          <w:lang w:val="ru-RU"/>
        </w:rPr>
        <w:t>12</w:t>
      </w:r>
      <w:r w:rsidR="006F5B92"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0</w:t>
      </w:r>
      <w:r w:rsidR="006F5B92"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6F5B92" w:rsidRPr="00E81A6E">
        <w:rPr>
          <w:rFonts w:ascii="Times New Roman" w:hAnsi="Times New Roman" w:cs="Times New Roman"/>
          <w:sz w:val="24"/>
          <w:szCs w:val="24"/>
          <w:lang w:val="ru-RU"/>
        </w:rPr>
        <w:t xml:space="preserve"> </w:t>
      </w:r>
    </w:p>
    <w:p w14:paraId="076F9DC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 20</w:t>
      </w:r>
      <w:r w:rsidR="004F18DC" w:rsidRPr="00E81A6E">
        <w:rPr>
          <w:rFonts w:ascii="Times New Roman" w:hAnsi="Times New Roman" w:cs="Times New Roman"/>
          <w:sz w:val="24"/>
          <w:szCs w:val="24"/>
          <w:lang w:val="bg-BG"/>
        </w:rPr>
        <w:t>2</w:t>
      </w:r>
      <w:r w:rsidR="00AB0751"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г. са разчетени средства на база програмата на СОАПИ и Решенията на СОС за продажби на нефинансови активи.</w:t>
      </w:r>
    </w:p>
    <w:p w14:paraId="6004ACBD" w14:textId="77777777" w:rsidR="006F5B92" w:rsidRPr="00E81A6E" w:rsidRDefault="006F5B92" w:rsidP="00350B12">
      <w:pPr>
        <w:pStyle w:val="ListParagraph"/>
        <w:numPr>
          <w:ilvl w:val="0"/>
          <w:numId w:val="9"/>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rPr>
        <w:t>Приходи от концесии 1,</w:t>
      </w:r>
      <w:r w:rsidR="00171D10" w:rsidRPr="00E81A6E">
        <w:rPr>
          <w:rFonts w:ascii="Times New Roman" w:hAnsi="Times New Roman" w:cs="Times New Roman"/>
          <w:sz w:val="24"/>
          <w:szCs w:val="24"/>
          <w:lang w:val="bg-BG"/>
        </w:rPr>
        <w:t>6</w:t>
      </w:r>
      <w:r w:rsidRPr="00E81A6E">
        <w:rPr>
          <w:rFonts w:ascii="Times New Roman" w:hAnsi="Times New Roman" w:cs="Times New Roman"/>
          <w:sz w:val="24"/>
          <w:szCs w:val="24"/>
          <w:lang w:val="bg-BG"/>
        </w:rPr>
        <w:t>0</w:t>
      </w:r>
      <w:r w:rsidRPr="00E81A6E">
        <w:rPr>
          <w:rFonts w:ascii="Times New Roman" w:hAnsi="Times New Roman" w:cs="Times New Roman"/>
          <w:sz w:val="24"/>
          <w:szCs w:val="24"/>
        </w:rPr>
        <w:t>0,000</w:t>
      </w:r>
      <w:r w:rsidR="00B26384" w:rsidRPr="00E81A6E">
        <w:rPr>
          <w:rFonts w:ascii="Times New Roman" w:hAnsi="Times New Roman" w:cs="Times New Roman"/>
          <w:sz w:val="24"/>
          <w:szCs w:val="24"/>
        </w:rPr>
        <w:t xml:space="preserve"> </w:t>
      </w:r>
      <w:r w:rsidR="008E5645" w:rsidRPr="00E81A6E">
        <w:rPr>
          <w:rFonts w:ascii="Times New Roman" w:hAnsi="Times New Roman" w:cs="Times New Roman"/>
          <w:sz w:val="24"/>
          <w:szCs w:val="24"/>
        </w:rPr>
        <w:t>лв.</w:t>
      </w:r>
      <w:r w:rsidR="00B26384" w:rsidRPr="00E81A6E">
        <w:rPr>
          <w:rFonts w:ascii="Times New Roman" w:hAnsi="Times New Roman" w:cs="Times New Roman"/>
          <w:sz w:val="24"/>
          <w:szCs w:val="24"/>
          <w:lang w:val="bg-BG"/>
        </w:rPr>
        <w:t xml:space="preserve"> </w:t>
      </w:r>
      <w:bookmarkStart w:id="58" w:name="_Toc409874548"/>
      <w:bookmarkStart w:id="59" w:name="_Toc499639777"/>
      <w:bookmarkStart w:id="60" w:name="_Toc500496073"/>
      <w:bookmarkStart w:id="61" w:name="_Toc500496419"/>
    </w:p>
    <w:p w14:paraId="2E63B982" w14:textId="77777777" w:rsidR="0064464F" w:rsidRPr="00E81A6E" w:rsidRDefault="0064464F" w:rsidP="0064464F">
      <w:pPr>
        <w:pStyle w:val="ListParagraph"/>
        <w:spacing w:after="0" w:line="240" w:lineRule="auto"/>
        <w:ind w:left="360"/>
        <w:contextualSpacing/>
        <w:jc w:val="both"/>
        <w:rPr>
          <w:rFonts w:ascii="Times New Roman" w:hAnsi="Times New Roman" w:cs="Times New Roman"/>
          <w:sz w:val="24"/>
          <w:szCs w:val="24"/>
          <w:lang w:val="bg-BG"/>
        </w:rPr>
      </w:pPr>
    </w:p>
    <w:p w14:paraId="42D08AD1" w14:textId="77777777" w:rsidR="006F5B92" w:rsidRPr="00E81A6E" w:rsidRDefault="006F5B92" w:rsidP="00F55B06">
      <w:pPr>
        <w:pStyle w:val="Heading3"/>
        <w:spacing w:before="0"/>
        <w:ind w:firstLine="720"/>
        <w:contextualSpacing/>
        <w:rPr>
          <w:rFonts w:ascii="Times New Roman" w:hAnsi="Times New Roman" w:cs="Times New Roman"/>
          <w:color w:val="auto"/>
          <w:sz w:val="24"/>
          <w:szCs w:val="24"/>
          <w:lang w:val="ru-RU"/>
        </w:rPr>
      </w:pPr>
      <w:bookmarkStart w:id="62" w:name="_Toc503629620"/>
      <w:bookmarkStart w:id="63" w:name="_Toc61971772"/>
      <w:r w:rsidRPr="00E81A6E">
        <w:rPr>
          <w:rFonts w:ascii="Times New Roman" w:hAnsi="Times New Roman" w:cs="Times New Roman"/>
          <w:color w:val="auto"/>
          <w:sz w:val="24"/>
          <w:szCs w:val="24"/>
          <w:lang w:val="ru-RU"/>
        </w:rPr>
        <w:t>УПРАВЛЕНИЕ НА ДЪЛГА И ФИНАНСИРАНЕ</w:t>
      </w:r>
      <w:bookmarkEnd w:id="58"/>
      <w:bookmarkEnd w:id="59"/>
      <w:bookmarkEnd w:id="60"/>
      <w:bookmarkEnd w:id="61"/>
      <w:bookmarkEnd w:id="62"/>
      <w:bookmarkEnd w:id="63"/>
    </w:p>
    <w:p w14:paraId="556A3E8E" w14:textId="77777777" w:rsidR="0064464F" w:rsidRPr="00E81A6E" w:rsidRDefault="0064464F" w:rsidP="00F55B06">
      <w:pPr>
        <w:spacing w:after="0" w:line="240" w:lineRule="auto"/>
        <w:ind w:firstLine="720"/>
        <w:contextualSpacing/>
        <w:jc w:val="both"/>
        <w:rPr>
          <w:rFonts w:ascii="Times New Roman" w:hAnsi="Times New Roman" w:cs="Times New Roman"/>
          <w:sz w:val="24"/>
          <w:szCs w:val="24"/>
          <w:lang w:val="ru-RU"/>
        </w:rPr>
      </w:pPr>
    </w:p>
    <w:p w14:paraId="67EEA420"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Преходният остатък на Столична община от 20</w:t>
      </w:r>
      <w:r w:rsidR="00171D10"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w:t>
      </w:r>
      <w:r w:rsidRPr="00E81A6E">
        <w:rPr>
          <w:rFonts w:ascii="Times New Roman" w:hAnsi="Times New Roman" w:cs="Times New Roman"/>
          <w:sz w:val="24"/>
          <w:szCs w:val="24"/>
          <w:lang w:val="bg-BG"/>
        </w:rPr>
        <w:t xml:space="preserve"> е </w:t>
      </w:r>
      <w:r w:rsidR="0067270B" w:rsidRPr="00E81A6E">
        <w:rPr>
          <w:rFonts w:ascii="Times New Roman" w:hAnsi="Times New Roman" w:cs="Times New Roman"/>
          <w:sz w:val="24"/>
          <w:szCs w:val="24"/>
          <w:lang w:val="bg-BG"/>
        </w:rPr>
        <w:t>17</w:t>
      </w:r>
      <w:r w:rsidR="00171D10" w:rsidRPr="00E81A6E">
        <w:rPr>
          <w:rFonts w:ascii="Times New Roman" w:hAnsi="Times New Roman" w:cs="Times New Roman"/>
          <w:sz w:val="24"/>
          <w:szCs w:val="24"/>
          <w:lang w:val="bg-BG"/>
        </w:rPr>
        <w:t>1</w:t>
      </w:r>
      <w:r w:rsidR="0067270B" w:rsidRPr="00E81A6E">
        <w:rPr>
          <w:rFonts w:ascii="Times New Roman" w:hAnsi="Times New Roman" w:cs="Times New Roman"/>
          <w:sz w:val="24"/>
          <w:szCs w:val="24"/>
          <w:lang w:val="bg-BG"/>
        </w:rPr>
        <w:t>,</w:t>
      </w:r>
      <w:r w:rsidR="00171D10" w:rsidRPr="00E81A6E">
        <w:rPr>
          <w:rFonts w:ascii="Times New Roman" w:hAnsi="Times New Roman" w:cs="Times New Roman"/>
          <w:sz w:val="24"/>
          <w:szCs w:val="24"/>
          <w:lang w:val="bg-BG"/>
        </w:rPr>
        <w:t>328</w:t>
      </w:r>
      <w:r w:rsidR="0067270B" w:rsidRPr="00E81A6E">
        <w:rPr>
          <w:rFonts w:ascii="Times New Roman" w:hAnsi="Times New Roman" w:cs="Times New Roman"/>
          <w:sz w:val="24"/>
          <w:szCs w:val="24"/>
          <w:lang w:val="bg-BG"/>
        </w:rPr>
        <w:t>,</w:t>
      </w:r>
      <w:r w:rsidR="00171D10" w:rsidRPr="00E81A6E">
        <w:rPr>
          <w:rFonts w:ascii="Times New Roman" w:hAnsi="Times New Roman" w:cs="Times New Roman"/>
          <w:sz w:val="24"/>
          <w:szCs w:val="24"/>
          <w:lang w:val="bg-BG"/>
        </w:rPr>
        <w:t>83</w:t>
      </w:r>
      <w:r w:rsidR="000B30F6" w:rsidRPr="00E81A6E">
        <w:rPr>
          <w:rFonts w:ascii="Times New Roman" w:hAnsi="Times New Roman" w:cs="Times New Roman"/>
          <w:sz w:val="24"/>
          <w:szCs w:val="24"/>
          <w:lang w:val="bg-BG"/>
        </w:rPr>
        <w:t>1</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bg-BG"/>
        </w:rPr>
        <w:t xml:space="preserve">, в това число от заеми в размер на </w:t>
      </w:r>
      <w:r w:rsidR="00B87967" w:rsidRPr="00E81A6E">
        <w:rPr>
          <w:rFonts w:ascii="Times New Roman" w:hAnsi="Times New Roman" w:cs="Times New Roman"/>
          <w:sz w:val="24"/>
          <w:szCs w:val="24"/>
          <w:lang w:val="bg-BG"/>
        </w:rPr>
        <w:t>19</w:t>
      </w:r>
      <w:r w:rsidR="000B30F6" w:rsidRPr="00E81A6E">
        <w:rPr>
          <w:rFonts w:ascii="Times New Roman" w:hAnsi="Times New Roman" w:cs="Times New Roman"/>
          <w:sz w:val="24"/>
          <w:szCs w:val="24"/>
          <w:lang w:val="bg-BG"/>
        </w:rPr>
        <w:t>,</w:t>
      </w:r>
      <w:r w:rsidR="00B87967" w:rsidRPr="00E81A6E">
        <w:rPr>
          <w:rFonts w:ascii="Times New Roman" w:hAnsi="Times New Roman" w:cs="Times New Roman"/>
          <w:sz w:val="24"/>
          <w:szCs w:val="24"/>
          <w:lang w:val="bg-BG"/>
        </w:rPr>
        <w:t>794</w:t>
      </w:r>
      <w:r w:rsidR="000B30F6" w:rsidRPr="00E81A6E">
        <w:rPr>
          <w:rFonts w:ascii="Times New Roman" w:hAnsi="Times New Roman" w:cs="Times New Roman"/>
          <w:sz w:val="24"/>
          <w:szCs w:val="24"/>
          <w:lang w:val="bg-BG"/>
        </w:rPr>
        <w:t>,</w:t>
      </w:r>
      <w:r w:rsidR="00B87967" w:rsidRPr="00E81A6E">
        <w:rPr>
          <w:rFonts w:ascii="Times New Roman" w:hAnsi="Times New Roman" w:cs="Times New Roman"/>
          <w:sz w:val="24"/>
          <w:szCs w:val="24"/>
          <w:lang w:val="bg-BG"/>
        </w:rPr>
        <w:t>512</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00B87967" w:rsidRPr="00E81A6E">
        <w:rPr>
          <w:rFonts w:ascii="Times New Roman" w:hAnsi="Times New Roman" w:cs="Times New Roman"/>
          <w:sz w:val="24"/>
          <w:szCs w:val="24"/>
          <w:lang w:val="bg-BG"/>
        </w:rPr>
        <w:t>, от които за капиталови разходи 17</w:t>
      </w:r>
      <w:r w:rsidR="000B30F6" w:rsidRPr="00E81A6E">
        <w:rPr>
          <w:rFonts w:ascii="Times New Roman" w:hAnsi="Times New Roman" w:cs="Times New Roman"/>
          <w:sz w:val="24"/>
          <w:szCs w:val="24"/>
          <w:lang w:val="bg-BG"/>
        </w:rPr>
        <w:t>,</w:t>
      </w:r>
      <w:r w:rsidR="00B87967" w:rsidRPr="00E81A6E">
        <w:rPr>
          <w:rFonts w:ascii="Times New Roman" w:hAnsi="Times New Roman" w:cs="Times New Roman"/>
          <w:sz w:val="24"/>
          <w:szCs w:val="24"/>
          <w:lang w:val="bg-BG"/>
        </w:rPr>
        <w:t>896</w:t>
      </w:r>
      <w:r w:rsidR="000B30F6" w:rsidRPr="00E81A6E">
        <w:rPr>
          <w:rFonts w:ascii="Times New Roman" w:hAnsi="Times New Roman" w:cs="Times New Roman"/>
          <w:sz w:val="24"/>
          <w:szCs w:val="24"/>
          <w:lang w:val="bg-BG"/>
        </w:rPr>
        <w:t>,</w:t>
      </w:r>
      <w:r w:rsidR="00B87967" w:rsidRPr="00E81A6E">
        <w:rPr>
          <w:rFonts w:ascii="Times New Roman" w:hAnsi="Times New Roman" w:cs="Times New Roman"/>
          <w:sz w:val="24"/>
          <w:szCs w:val="24"/>
          <w:lang w:val="bg-BG"/>
        </w:rPr>
        <w:t>961</w:t>
      </w:r>
      <w:r w:rsidR="000B30F6" w:rsidRPr="00E81A6E">
        <w:rPr>
          <w:rFonts w:ascii="Times New Roman" w:hAnsi="Times New Roman" w:cs="Times New Roman"/>
          <w:sz w:val="24"/>
          <w:szCs w:val="24"/>
          <w:lang w:val="bg-BG"/>
        </w:rPr>
        <w:t>лв</w:t>
      </w:r>
      <w:r w:rsidR="00B87967" w:rsidRPr="00E81A6E">
        <w:rPr>
          <w:rFonts w:ascii="Times New Roman" w:hAnsi="Times New Roman" w:cs="Times New Roman"/>
          <w:sz w:val="24"/>
          <w:szCs w:val="24"/>
          <w:lang w:val="bg-BG"/>
        </w:rPr>
        <w:t>.</w:t>
      </w:r>
    </w:p>
    <w:p w14:paraId="491B57F6" w14:textId="77777777" w:rsidR="00E076F7" w:rsidRPr="00E81A6E" w:rsidRDefault="00E076F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 усвояване от заеми през 20</w:t>
      </w:r>
      <w:r w:rsidR="00A118E7" w:rsidRPr="00E81A6E">
        <w:rPr>
          <w:rFonts w:ascii="Times New Roman" w:hAnsi="Times New Roman" w:cs="Times New Roman"/>
          <w:sz w:val="24"/>
          <w:szCs w:val="24"/>
          <w:lang w:val="bg-BG"/>
        </w:rPr>
        <w:t>21</w:t>
      </w:r>
      <w:r w:rsidRPr="00E81A6E">
        <w:rPr>
          <w:rFonts w:ascii="Times New Roman" w:hAnsi="Times New Roman" w:cs="Times New Roman"/>
          <w:sz w:val="24"/>
          <w:szCs w:val="24"/>
          <w:lang w:val="bg-BG"/>
        </w:rPr>
        <w:t xml:space="preserve"> г. са разчетени 19,558,300 лв.</w:t>
      </w:r>
    </w:p>
    <w:p w14:paraId="390A4744" w14:textId="77777777" w:rsidR="00E076F7" w:rsidRPr="00E81A6E" w:rsidRDefault="00E076F7" w:rsidP="00F55B06">
      <w:pPr>
        <w:spacing w:after="0" w:line="240" w:lineRule="auto"/>
        <w:ind w:firstLine="720"/>
        <w:contextualSpacing/>
        <w:jc w:val="both"/>
        <w:rPr>
          <w:rFonts w:ascii="Times New Roman" w:hAnsi="Times New Roman" w:cs="Times New Roman"/>
          <w:sz w:val="24"/>
          <w:szCs w:val="24"/>
          <w:lang w:val="bg-BG"/>
        </w:rPr>
      </w:pPr>
    </w:p>
    <w:p w14:paraId="5A5CDFCE" w14:textId="77777777" w:rsidR="00E076F7" w:rsidRPr="00E81A6E" w:rsidRDefault="003F4428"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 бюджета на Столична община за 2021г. се разпределят за капиталови разходи средства в размер на</w:t>
      </w:r>
      <w:r w:rsidR="009E2CFB" w:rsidRPr="00E81A6E">
        <w:rPr>
          <w:rFonts w:ascii="Times New Roman" w:hAnsi="Times New Roman" w:cs="Times New Roman"/>
          <w:sz w:val="24"/>
          <w:szCs w:val="24"/>
          <w:lang w:val="bg-BG"/>
        </w:rPr>
        <w:t xml:space="preserve"> 4,349,285 лв.</w:t>
      </w:r>
      <w:r w:rsidRPr="00E81A6E">
        <w:rPr>
          <w:rFonts w:ascii="Times New Roman" w:hAnsi="Times New Roman" w:cs="Times New Roman"/>
          <w:sz w:val="24"/>
          <w:szCs w:val="24"/>
          <w:lang w:val="bg-BG"/>
        </w:rPr>
        <w:t xml:space="preserve"> от преходен остатък по депозитни сметки на общината, резервиран през годините от постъпления от приватизация за дейността на Общински гаранционен фонд.</w:t>
      </w:r>
    </w:p>
    <w:p w14:paraId="3802D573" w14:textId="77777777" w:rsidR="0064464F" w:rsidRPr="00E81A6E" w:rsidRDefault="0064464F" w:rsidP="00F55B06">
      <w:pPr>
        <w:spacing w:after="0" w:line="240" w:lineRule="auto"/>
        <w:ind w:firstLine="720"/>
        <w:contextualSpacing/>
        <w:jc w:val="both"/>
        <w:rPr>
          <w:rFonts w:ascii="Times New Roman" w:hAnsi="Times New Roman" w:cs="Times New Roman"/>
          <w:sz w:val="24"/>
          <w:szCs w:val="24"/>
          <w:lang w:val="bg-BG"/>
        </w:rPr>
      </w:pPr>
    </w:p>
    <w:p w14:paraId="5FC38108" w14:textId="171C77AD"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sz w:val="24"/>
          <w:szCs w:val="24"/>
          <w:lang w:val="ru-RU"/>
        </w:rPr>
        <w:t>През 20</w:t>
      </w:r>
      <w:r w:rsidR="007A69CE" w:rsidRPr="00E81A6E">
        <w:rPr>
          <w:rFonts w:ascii="Times New Roman" w:hAnsi="Times New Roman" w:cs="Times New Roman"/>
          <w:sz w:val="24"/>
          <w:szCs w:val="24"/>
          <w:lang w:val="ru-RU"/>
        </w:rPr>
        <w:t>2</w:t>
      </w:r>
      <w:r w:rsidR="00171D10"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ще бъдат погасени заеми (главница)</w:t>
      </w:r>
      <w:r w:rsidRPr="00E81A6E">
        <w:rPr>
          <w:rFonts w:ascii="Times New Roman" w:hAnsi="Times New Roman" w:cs="Times New Roman"/>
          <w:sz w:val="24"/>
          <w:szCs w:val="24"/>
          <w:lang w:val="bg-BG"/>
        </w:rPr>
        <w:t>, в т.ч. лизинг,</w:t>
      </w:r>
      <w:r w:rsidRPr="00E81A6E">
        <w:rPr>
          <w:rFonts w:ascii="Times New Roman" w:hAnsi="Times New Roman" w:cs="Times New Roman"/>
          <w:sz w:val="24"/>
          <w:szCs w:val="24"/>
          <w:lang w:val="ru-RU"/>
        </w:rPr>
        <w:t xml:space="preserve"> в размер на </w:t>
      </w:r>
      <w:r w:rsidRPr="00E81A6E">
        <w:rPr>
          <w:rFonts w:ascii="Times New Roman" w:hAnsi="Times New Roman" w:cs="Times New Roman"/>
          <w:b/>
          <w:bCs/>
          <w:sz w:val="24"/>
          <w:szCs w:val="24"/>
          <w:lang w:val="bg-BG"/>
        </w:rPr>
        <w:t>3</w:t>
      </w:r>
      <w:r w:rsidR="00171D10" w:rsidRPr="00E81A6E">
        <w:rPr>
          <w:rFonts w:ascii="Times New Roman" w:hAnsi="Times New Roman" w:cs="Times New Roman"/>
          <w:b/>
          <w:bCs/>
          <w:sz w:val="24"/>
          <w:szCs w:val="24"/>
          <w:lang w:val="bg-BG"/>
        </w:rPr>
        <w:t>7</w:t>
      </w:r>
      <w:r w:rsidRPr="00E81A6E">
        <w:rPr>
          <w:rFonts w:ascii="Times New Roman" w:hAnsi="Times New Roman" w:cs="Times New Roman"/>
          <w:b/>
          <w:bCs/>
          <w:sz w:val="24"/>
          <w:szCs w:val="24"/>
          <w:lang w:val="ru-RU"/>
        </w:rPr>
        <w:t>,</w:t>
      </w:r>
      <w:r w:rsidR="007A69CE" w:rsidRPr="00E81A6E">
        <w:rPr>
          <w:rFonts w:ascii="Times New Roman" w:hAnsi="Times New Roman" w:cs="Times New Roman"/>
          <w:b/>
          <w:bCs/>
          <w:sz w:val="24"/>
          <w:szCs w:val="24"/>
          <w:lang w:val="ru-RU"/>
        </w:rPr>
        <w:t>3</w:t>
      </w:r>
      <w:r w:rsidR="00171D10" w:rsidRPr="00E81A6E">
        <w:rPr>
          <w:rFonts w:ascii="Times New Roman" w:hAnsi="Times New Roman" w:cs="Times New Roman"/>
          <w:b/>
          <w:bCs/>
          <w:sz w:val="24"/>
          <w:szCs w:val="24"/>
          <w:lang w:val="ru-RU"/>
        </w:rPr>
        <w:t>74</w:t>
      </w:r>
      <w:r w:rsidRPr="00E81A6E">
        <w:rPr>
          <w:rFonts w:ascii="Times New Roman" w:hAnsi="Times New Roman" w:cs="Times New Roman"/>
          <w:b/>
          <w:bCs/>
          <w:sz w:val="24"/>
          <w:szCs w:val="24"/>
          <w:lang w:val="ru-RU"/>
        </w:rPr>
        <w:t>,</w:t>
      </w:r>
      <w:r w:rsidR="00171D10" w:rsidRPr="00E81A6E">
        <w:rPr>
          <w:rFonts w:ascii="Times New Roman" w:hAnsi="Times New Roman" w:cs="Times New Roman"/>
          <w:b/>
          <w:bCs/>
          <w:sz w:val="24"/>
          <w:szCs w:val="24"/>
          <w:lang w:val="ru-RU"/>
        </w:rPr>
        <w:t>000</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p>
    <w:tbl>
      <w:tblPr>
        <w:tblW w:w="0" w:type="auto"/>
        <w:tblInd w:w="2" w:type="dxa"/>
        <w:tblLook w:val="00A0" w:firstRow="1" w:lastRow="0" w:firstColumn="1" w:lastColumn="0" w:noHBand="0" w:noVBand="0"/>
      </w:tblPr>
      <w:tblGrid>
        <w:gridCol w:w="7054"/>
        <w:gridCol w:w="2016"/>
      </w:tblGrid>
      <w:tr w:rsidR="006F5B92" w:rsidRPr="00E81A6E" w14:paraId="605388DE" w14:textId="77777777" w:rsidTr="0064464F">
        <w:tc>
          <w:tcPr>
            <w:tcW w:w="7054" w:type="dxa"/>
            <w:tcBorders>
              <w:bottom w:val="single" w:sz="4" w:space="0" w:color="7F7F7F"/>
              <w:right w:val="nil"/>
            </w:tcBorders>
          </w:tcPr>
          <w:p w14:paraId="6A39EB17" w14:textId="77777777" w:rsidR="006F5B92" w:rsidRPr="00E81A6E" w:rsidRDefault="006F5B92" w:rsidP="00F55B06">
            <w:pPr>
              <w:spacing w:after="0" w:line="240" w:lineRule="auto"/>
              <w:ind w:firstLine="720"/>
              <w:contextualSpacing/>
              <w:jc w:val="center"/>
              <w:rPr>
                <w:rFonts w:ascii="Times New Roman" w:hAnsi="Times New Roman" w:cs="Times New Roman"/>
                <w:b/>
                <w:bCs/>
                <w:caps/>
                <w:sz w:val="24"/>
                <w:szCs w:val="24"/>
              </w:rPr>
            </w:pPr>
            <w:r w:rsidRPr="00E81A6E">
              <w:rPr>
                <w:rFonts w:ascii="Times New Roman" w:hAnsi="Times New Roman" w:cs="Times New Roman"/>
                <w:caps/>
                <w:sz w:val="24"/>
                <w:szCs w:val="24"/>
              </w:rPr>
              <w:t>Операции</w:t>
            </w:r>
            <w:r w:rsidRPr="00E81A6E">
              <w:rPr>
                <w:rFonts w:ascii="Times New Roman" w:hAnsi="Times New Roman" w:cs="Times New Roman"/>
                <w:caps/>
                <w:sz w:val="24"/>
                <w:szCs w:val="24"/>
                <w:lang w:val="bg-BG"/>
              </w:rPr>
              <w:t>,</w:t>
            </w:r>
            <w:r w:rsidRPr="00E81A6E">
              <w:rPr>
                <w:rFonts w:ascii="Times New Roman" w:hAnsi="Times New Roman" w:cs="Times New Roman"/>
                <w:caps/>
                <w:sz w:val="24"/>
                <w:szCs w:val="24"/>
              </w:rPr>
              <w:t xml:space="preserve"> свързани с дълга</w:t>
            </w:r>
          </w:p>
        </w:tc>
        <w:tc>
          <w:tcPr>
            <w:tcW w:w="2016" w:type="dxa"/>
            <w:tcBorders>
              <w:bottom w:val="single" w:sz="4" w:space="0" w:color="7F7F7F"/>
            </w:tcBorders>
          </w:tcPr>
          <w:p w14:paraId="4AFCD3BB" w14:textId="77777777" w:rsidR="006F5B92" w:rsidRPr="00E81A6E" w:rsidRDefault="006F5B92" w:rsidP="00F55B06">
            <w:pPr>
              <w:spacing w:after="0" w:line="240" w:lineRule="auto"/>
              <w:ind w:firstLine="720"/>
              <w:contextualSpacing/>
              <w:jc w:val="center"/>
              <w:rPr>
                <w:rFonts w:ascii="Times New Roman" w:hAnsi="Times New Roman" w:cs="Times New Roman"/>
                <w:b/>
                <w:bCs/>
                <w:caps/>
                <w:sz w:val="24"/>
                <w:szCs w:val="24"/>
              </w:rPr>
            </w:pPr>
            <w:r w:rsidRPr="00E81A6E">
              <w:rPr>
                <w:rFonts w:ascii="Times New Roman" w:hAnsi="Times New Roman" w:cs="Times New Roman"/>
                <w:caps/>
                <w:sz w:val="24"/>
                <w:szCs w:val="24"/>
              </w:rPr>
              <w:t>лева</w:t>
            </w:r>
          </w:p>
        </w:tc>
      </w:tr>
      <w:tr w:rsidR="003E3FC6" w:rsidRPr="00E81A6E" w14:paraId="32A45339" w14:textId="77777777" w:rsidTr="00504ADE">
        <w:tc>
          <w:tcPr>
            <w:tcW w:w="7054" w:type="dxa"/>
            <w:tcBorders>
              <w:right w:val="single" w:sz="4" w:space="0" w:color="7F7F7F"/>
            </w:tcBorders>
            <w:shd w:val="clear" w:color="auto" w:fill="F2F2F2"/>
          </w:tcPr>
          <w:p w14:paraId="7FB6A7FA" w14:textId="77777777" w:rsidR="003E3FC6" w:rsidRPr="00E81A6E" w:rsidRDefault="003E3FC6" w:rsidP="00504ADE">
            <w:pPr>
              <w:spacing w:after="0" w:line="240" w:lineRule="auto"/>
              <w:ind w:firstLine="720"/>
              <w:contextualSpacing/>
              <w:jc w:val="both"/>
              <w:rPr>
                <w:rFonts w:ascii="Times New Roman" w:hAnsi="Times New Roman" w:cs="Times New Roman"/>
                <w:b/>
                <w:bCs/>
                <w:caps/>
                <w:sz w:val="24"/>
                <w:szCs w:val="24"/>
              </w:rPr>
            </w:pPr>
            <w:r w:rsidRPr="00E81A6E">
              <w:rPr>
                <w:rFonts w:ascii="Times New Roman" w:hAnsi="Times New Roman" w:cs="Times New Roman"/>
                <w:b/>
                <w:bCs/>
                <w:sz w:val="24"/>
                <w:szCs w:val="24"/>
              </w:rPr>
              <w:t>Усвояван</w:t>
            </w:r>
            <w:r w:rsidRPr="00E81A6E">
              <w:rPr>
                <w:rFonts w:ascii="Times New Roman" w:hAnsi="Times New Roman" w:cs="Times New Roman"/>
                <w:b/>
                <w:bCs/>
                <w:sz w:val="24"/>
                <w:szCs w:val="24"/>
                <w:lang w:val="bg-BG"/>
              </w:rPr>
              <w:t>е</w:t>
            </w:r>
            <w:r w:rsidRPr="00E81A6E">
              <w:rPr>
                <w:rFonts w:ascii="Times New Roman" w:hAnsi="Times New Roman" w:cs="Times New Roman"/>
                <w:b/>
                <w:bCs/>
                <w:sz w:val="24"/>
                <w:szCs w:val="24"/>
              </w:rPr>
              <w:t xml:space="preserve"> </w:t>
            </w:r>
            <w:r w:rsidRPr="00E81A6E">
              <w:rPr>
                <w:rFonts w:ascii="Times New Roman" w:hAnsi="Times New Roman" w:cs="Times New Roman"/>
                <w:b/>
                <w:bCs/>
                <w:sz w:val="24"/>
                <w:szCs w:val="24"/>
                <w:lang w:val="bg-BG"/>
              </w:rPr>
              <w:t>на</w:t>
            </w:r>
            <w:r w:rsidRPr="00E81A6E">
              <w:rPr>
                <w:rFonts w:ascii="Times New Roman" w:hAnsi="Times New Roman" w:cs="Times New Roman"/>
                <w:b/>
                <w:bCs/>
                <w:sz w:val="24"/>
                <w:szCs w:val="24"/>
              </w:rPr>
              <w:t xml:space="preserve"> заеми:</w:t>
            </w:r>
          </w:p>
        </w:tc>
        <w:tc>
          <w:tcPr>
            <w:tcW w:w="2016" w:type="dxa"/>
            <w:shd w:val="clear" w:color="auto" w:fill="F2F2F2"/>
          </w:tcPr>
          <w:p w14:paraId="1D572147" w14:textId="77777777" w:rsidR="003E3FC6" w:rsidRPr="00E81A6E" w:rsidRDefault="003E3FC6" w:rsidP="00504ADE">
            <w:pPr>
              <w:spacing w:after="0" w:line="240" w:lineRule="auto"/>
              <w:ind w:firstLine="720"/>
              <w:contextualSpacing/>
              <w:jc w:val="right"/>
              <w:rPr>
                <w:rFonts w:ascii="Times New Roman" w:hAnsi="Times New Roman" w:cs="Times New Roman"/>
                <w:b/>
                <w:bCs/>
                <w:sz w:val="24"/>
                <w:szCs w:val="24"/>
              </w:rPr>
            </w:pPr>
          </w:p>
        </w:tc>
      </w:tr>
      <w:tr w:rsidR="0064464F" w:rsidRPr="00E81A6E" w14:paraId="37EB661C" w14:textId="77777777" w:rsidTr="0064464F">
        <w:tc>
          <w:tcPr>
            <w:tcW w:w="7054" w:type="dxa"/>
            <w:tcBorders>
              <w:bottom w:val="single" w:sz="4" w:space="0" w:color="7F7F7F"/>
              <w:right w:val="nil"/>
            </w:tcBorders>
          </w:tcPr>
          <w:p w14:paraId="65196E8C" w14:textId="77777777" w:rsidR="0064464F" w:rsidRPr="00E81A6E" w:rsidRDefault="003E3FC6" w:rsidP="003E3FC6">
            <w:pPr>
              <w:spacing w:after="0" w:line="240" w:lineRule="auto"/>
              <w:contextualSpacing/>
              <w:rPr>
                <w:rFonts w:ascii="Times New Roman" w:hAnsi="Times New Roman" w:cs="Times New Roman"/>
                <w:b/>
                <w:bCs/>
                <w:sz w:val="24"/>
                <w:szCs w:val="24"/>
              </w:rPr>
            </w:pPr>
            <w:r w:rsidRPr="00E81A6E">
              <w:rPr>
                <w:rFonts w:ascii="Times New Roman" w:hAnsi="Times New Roman" w:cs="Times New Roman"/>
                <w:sz w:val="24"/>
                <w:szCs w:val="24"/>
                <w:lang w:val="bg-BG" w:eastAsia="en-US"/>
              </w:rPr>
              <w:t>Д</w:t>
            </w:r>
            <w:r w:rsidR="0064464F" w:rsidRPr="00E81A6E">
              <w:rPr>
                <w:rFonts w:ascii="Times New Roman" w:hAnsi="Times New Roman" w:cs="Times New Roman"/>
                <w:sz w:val="24"/>
                <w:szCs w:val="24"/>
                <w:lang w:eastAsia="en-US"/>
              </w:rPr>
              <w:t>ългосрочен заем от ЕИБ за финансиране изпълнението на проект</w:t>
            </w:r>
            <w:r w:rsidR="0064464F" w:rsidRPr="00E81A6E">
              <w:rPr>
                <w:rFonts w:ascii="Times New Roman" w:hAnsi="Times New Roman" w:cs="Times New Roman"/>
                <w:sz w:val="24"/>
                <w:szCs w:val="24"/>
                <w:lang w:val="bg-BG" w:eastAsia="en-US"/>
              </w:rPr>
              <w:t xml:space="preserve"> </w:t>
            </w:r>
            <w:r w:rsidR="0064464F" w:rsidRPr="00E81A6E">
              <w:rPr>
                <w:rFonts w:ascii="Times New Roman" w:hAnsi="Times New Roman" w:cs="Times New Roman"/>
                <w:sz w:val="24"/>
                <w:szCs w:val="24"/>
                <w:lang w:eastAsia="en-US"/>
              </w:rPr>
              <w:t>“Устойчива градска мобилност.</w:t>
            </w:r>
            <w:r w:rsidR="0064464F" w:rsidRPr="00E81A6E">
              <w:rPr>
                <w:rFonts w:ascii="Times New Roman" w:hAnsi="Times New Roman" w:cs="Times New Roman"/>
                <w:sz w:val="24"/>
                <w:szCs w:val="24"/>
                <w:lang w:val="bg-BG" w:eastAsia="en-US"/>
              </w:rPr>
              <w:t xml:space="preserve"> </w:t>
            </w:r>
            <w:r w:rsidR="0064464F" w:rsidRPr="00E81A6E">
              <w:rPr>
                <w:rFonts w:ascii="Times New Roman" w:hAnsi="Times New Roman" w:cs="Times New Roman"/>
                <w:sz w:val="24"/>
                <w:szCs w:val="24"/>
                <w:lang w:eastAsia="en-US"/>
              </w:rPr>
              <w:t>Изграждане и реконструкция на основни артерии от кръгово-радиалната улична мрежа на гр.София”</w:t>
            </w:r>
          </w:p>
        </w:tc>
        <w:tc>
          <w:tcPr>
            <w:tcW w:w="2016" w:type="dxa"/>
            <w:tcBorders>
              <w:bottom w:val="single" w:sz="4" w:space="0" w:color="7F7F7F"/>
            </w:tcBorders>
          </w:tcPr>
          <w:p w14:paraId="1BB2DD95" w14:textId="77777777" w:rsidR="0064464F" w:rsidRPr="00E81A6E" w:rsidRDefault="0064464F" w:rsidP="00F55B06">
            <w:pPr>
              <w:spacing w:after="0" w:line="240" w:lineRule="auto"/>
              <w:ind w:firstLine="720"/>
              <w:contextualSpacing/>
              <w:jc w:val="center"/>
              <w:rPr>
                <w:rFonts w:ascii="Times New Roman" w:hAnsi="Times New Roman" w:cs="Times New Roman"/>
                <w:caps/>
                <w:sz w:val="24"/>
                <w:szCs w:val="24"/>
              </w:rPr>
            </w:pPr>
            <w:r w:rsidRPr="00E81A6E">
              <w:rPr>
                <w:rFonts w:ascii="Times New Roman" w:hAnsi="Times New Roman" w:cs="Times New Roman"/>
                <w:sz w:val="24"/>
                <w:szCs w:val="24"/>
                <w:lang w:val="bg-BG"/>
              </w:rPr>
              <w:t>19,558,300</w:t>
            </w:r>
          </w:p>
        </w:tc>
      </w:tr>
      <w:tr w:rsidR="006F5B92" w:rsidRPr="00E81A6E" w14:paraId="2B0DD0D3" w14:textId="77777777" w:rsidTr="0064464F">
        <w:tc>
          <w:tcPr>
            <w:tcW w:w="7054" w:type="dxa"/>
            <w:tcBorders>
              <w:right w:val="single" w:sz="4" w:space="0" w:color="7F7F7F"/>
            </w:tcBorders>
            <w:shd w:val="clear" w:color="auto" w:fill="F2F2F2"/>
          </w:tcPr>
          <w:p w14:paraId="5CB916DD" w14:textId="77777777" w:rsidR="006F5B92" w:rsidRPr="00E81A6E" w:rsidRDefault="006F5B92" w:rsidP="00F55B06">
            <w:pPr>
              <w:spacing w:after="0" w:line="240" w:lineRule="auto"/>
              <w:ind w:firstLine="720"/>
              <w:contextualSpacing/>
              <w:jc w:val="both"/>
              <w:rPr>
                <w:rFonts w:ascii="Times New Roman" w:hAnsi="Times New Roman" w:cs="Times New Roman"/>
                <w:b/>
                <w:bCs/>
                <w:caps/>
                <w:sz w:val="24"/>
                <w:szCs w:val="24"/>
              </w:rPr>
            </w:pPr>
            <w:r w:rsidRPr="00E81A6E">
              <w:rPr>
                <w:rFonts w:ascii="Times New Roman" w:hAnsi="Times New Roman" w:cs="Times New Roman"/>
                <w:b/>
                <w:bCs/>
                <w:sz w:val="24"/>
                <w:szCs w:val="24"/>
              </w:rPr>
              <w:t>Погасяване на заеми:</w:t>
            </w:r>
          </w:p>
        </w:tc>
        <w:tc>
          <w:tcPr>
            <w:tcW w:w="2016" w:type="dxa"/>
            <w:shd w:val="clear" w:color="auto" w:fill="F2F2F2"/>
          </w:tcPr>
          <w:p w14:paraId="43AEFC32" w14:textId="77777777" w:rsidR="006F5B92" w:rsidRPr="00E81A6E" w:rsidRDefault="006F5B92" w:rsidP="00F55B06">
            <w:pPr>
              <w:spacing w:after="0" w:line="240" w:lineRule="auto"/>
              <w:ind w:firstLine="720"/>
              <w:contextualSpacing/>
              <w:jc w:val="right"/>
              <w:rPr>
                <w:rFonts w:ascii="Times New Roman" w:hAnsi="Times New Roman" w:cs="Times New Roman"/>
                <w:b/>
                <w:bCs/>
                <w:sz w:val="24"/>
                <w:szCs w:val="24"/>
              </w:rPr>
            </w:pPr>
          </w:p>
        </w:tc>
      </w:tr>
      <w:tr w:rsidR="006F5B92" w:rsidRPr="00E81A6E" w14:paraId="341643B6" w14:textId="77777777" w:rsidTr="0064464F">
        <w:tc>
          <w:tcPr>
            <w:tcW w:w="7054" w:type="dxa"/>
            <w:tcBorders>
              <w:right w:val="single" w:sz="4" w:space="0" w:color="7F7F7F"/>
            </w:tcBorders>
          </w:tcPr>
          <w:p w14:paraId="4C10ED24" w14:textId="77777777" w:rsidR="006F5B92" w:rsidRPr="00E81A6E" w:rsidRDefault="003E3FC6" w:rsidP="003E3FC6">
            <w:pPr>
              <w:spacing w:after="0" w:line="240" w:lineRule="auto"/>
              <w:contextualSpacing/>
              <w:jc w:val="both"/>
              <w:rPr>
                <w:rFonts w:ascii="Times New Roman" w:hAnsi="Times New Roman" w:cs="Times New Roman"/>
                <w:b/>
                <w:bCs/>
                <w:caps/>
                <w:sz w:val="24"/>
                <w:szCs w:val="24"/>
                <w:lang w:val="ru-RU"/>
              </w:rPr>
            </w:pPr>
            <w:r w:rsidRPr="00E81A6E">
              <w:rPr>
                <w:rFonts w:ascii="Times New Roman" w:hAnsi="Times New Roman" w:cs="Times New Roman"/>
                <w:sz w:val="24"/>
                <w:szCs w:val="24"/>
                <w:lang w:val="ru-RU"/>
              </w:rPr>
              <w:t>С</w:t>
            </w:r>
            <w:r w:rsidR="006F5B92" w:rsidRPr="00E81A6E">
              <w:rPr>
                <w:rFonts w:ascii="Times New Roman" w:hAnsi="Times New Roman" w:cs="Times New Roman"/>
                <w:sz w:val="24"/>
                <w:szCs w:val="24"/>
                <w:lang w:val="ru-RU"/>
              </w:rPr>
              <w:t xml:space="preserve">редства за погасяване на заеми </w:t>
            </w:r>
          </w:p>
        </w:tc>
        <w:tc>
          <w:tcPr>
            <w:tcW w:w="2016" w:type="dxa"/>
          </w:tcPr>
          <w:p w14:paraId="40666AA6" w14:textId="77777777" w:rsidR="006F5B92" w:rsidRPr="00E81A6E" w:rsidRDefault="006F5B92" w:rsidP="00F55B06">
            <w:pPr>
              <w:spacing w:after="0" w:line="240" w:lineRule="auto"/>
              <w:ind w:firstLine="720"/>
              <w:contextualSpacing/>
              <w:jc w:val="right"/>
              <w:rPr>
                <w:rFonts w:ascii="Times New Roman" w:hAnsi="Times New Roman" w:cs="Times New Roman"/>
                <w:sz w:val="24"/>
                <w:szCs w:val="24"/>
                <w:lang w:val="bg-BG"/>
              </w:rPr>
            </w:pPr>
            <w:r w:rsidRPr="00E81A6E">
              <w:rPr>
                <w:rFonts w:ascii="Times New Roman" w:hAnsi="Times New Roman" w:cs="Times New Roman"/>
                <w:sz w:val="24"/>
                <w:szCs w:val="24"/>
                <w:lang w:val="bg-BG"/>
              </w:rPr>
              <w:t>3</w:t>
            </w:r>
            <w:r w:rsidR="00171D10" w:rsidRPr="00E81A6E">
              <w:rPr>
                <w:rFonts w:ascii="Times New Roman" w:hAnsi="Times New Roman" w:cs="Times New Roman"/>
                <w:sz w:val="24"/>
                <w:szCs w:val="24"/>
                <w:lang w:val="bg-BG"/>
              </w:rPr>
              <w:t>7</w:t>
            </w:r>
            <w:r w:rsidRPr="00E81A6E">
              <w:rPr>
                <w:rFonts w:ascii="Times New Roman" w:hAnsi="Times New Roman" w:cs="Times New Roman"/>
                <w:sz w:val="24"/>
                <w:szCs w:val="24"/>
              </w:rPr>
              <w:t>,</w:t>
            </w:r>
            <w:r w:rsidR="007A69CE" w:rsidRPr="00E81A6E">
              <w:rPr>
                <w:rFonts w:ascii="Times New Roman" w:hAnsi="Times New Roman" w:cs="Times New Roman"/>
                <w:sz w:val="24"/>
                <w:szCs w:val="24"/>
                <w:lang w:val="bg-BG"/>
              </w:rPr>
              <w:t>3</w:t>
            </w:r>
            <w:r w:rsidR="00171D10" w:rsidRPr="00E81A6E">
              <w:rPr>
                <w:rFonts w:ascii="Times New Roman" w:hAnsi="Times New Roman" w:cs="Times New Roman"/>
                <w:sz w:val="24"/>
                <w:szCs w:val="24"/>
                <w:lang w:val="bg-BG"/>
              </w:rPr>
              <w:t>74</w:t>
            </w:r>
            <w:r w:rsidRPr="00E81A6E">
              <w:rPr>
                <w:rFonts w:ascii="Times New Roman" w:hAnsi="Times New Roman" w:cs="Times New Roman"/>
                <w:sz w:val="24"/>
                <w:szCs w:val="24"/>
              </w:rPr>
              <w:t>,</w:t>
            </w:r>
            <w:r w:rsidR="00171D10" w:rsidRPr="00E81A6E">
              <w:rPr>
                <w:rFonts w:ascii="Times New Roman" w:hAnsi="Times New Roman" w:cs="Times New Roman"/>
                <w:sz w:val="24"/>
                <w:szCs w:val="24"/>
                <w:lang w:val="bg-BG"/>
              </w:rPr>
              <w:t>000</w:t>
            </w:r>
          </w:p>
        </w:tc>
      </w:tr>
    </w:tbl>
    <w:p w14:paraId="55307C0D" w14:textId="77777777" w:rsidR="00C0089B" w:rsidRPr="00E81A6E" w:rsidRDefault="00C0089B" w:rsidP="00F55B06">
      <w:pPr>
        <w:spacing w:after="0" w:line="240" w:lineRule="auto"/>
        <w:ind w:firstLine="720"/>
        <w:contextualSpacing/>
        <w:jc w:val="both"/>
        <w:rPr>
          <w:rFonts w:ascii="Times New Roman" w:hAnsi="Times New Roman" w:cs="Times New Roman"/>
          <w:sz w:val="24"/>
          <w:szCs w:val="24"/>
          <w:lang w:val="ru-RU"/>
        </w:rPr>
      </w:pPr>
    </w:p>
    <w:p w14:paraId="4013DDE2" w14:textId="77777777" w:rsidR="00AF76DB"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Законът за публичните финанси</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регламентира поемането на общински дълг и поставя изисквания за максималния размер на годишните разходи по обслужване на дълга и размера на общинските гаранции като процент от собствените приходи на общината и общата изравнителна субсидия. Заемите, поети от Столична община са изключително от международни финансови институции, с инвестиционно предназначение и се характеризират с дълги срокове за погасяване и благоприятни финансови условия. По тази причина общината отговаря на всички законови изисквания за размера на дълга.</w:t>
      </w:r>
      <w:r w:rsidR="00C917EA" w:rsidRPr="00E81A6E">
        <w:rPr>
          <w:rFonts w:ascii="Times New Roman" w:hAnsi="Times New Roman" w:cs="Times New Roman"/>
          <w:sz w:val="24"/>
          <w:szCs w:val="24"/>
          <w:lang w:val="ru-RU"/>
        </w:rPr>
        <w:t xml:space="preserve"> </w:t>
      </w:r>
    </w:p>
    <w:p w14:paraId="5533F4CD" w14:textId="77777777" w:rsidR="006F5B92" w:rsidRPr="00E81A6E" w:rsidRDefault="006F5B92" w:rsidP="00350B12">
      <w:pPr>
        <w:pStyle w:val="ListParagraph"/>
        <w:numPr>
          <w:ilvl w:val="0"/>
          <w:numId w:val="9"/>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Разходи</w:t>
      </w:r>
      <w:r w:rsidR="00C03BA7" w:rsidRPr="00E81A6E">
        <w:rPr>
          <w:rFonts w:ascii="Times New Roman" w:hAnsi="Times New Roman" w:cs="Times New Roman"/>
          <w:i/>
          <w:iCs/>
          <w:sz w:val="24"/>
          <w:szCs w:val="24"/>
          <w:lang w:val="ru-RU"/>
        </w:rPr>
        <w:t>те</w:t>
      </w:r>
      <w:r w:rsidRPr="00E81A6E">
        <w:rPr>
          <w:rFonts w:ascii="Times New Roman" w:hAnsi="Times New Roman" w:cs="Times New Roman"/>
          <w:i/>
          <w:iCs/>
          <w:sz w:val="24"/>
          <w:szCs w:val="24"/>
          <w:lang w:val="ru-RU"/>
        </w:rPr>
        <w:t xml:space="preserve"> по обслужване на дълга </w:t>
      </w:r>
      <w:r w:rsidR="00C03BA7" w:rsidRPr="00E81A6E">
        <w:rPr>
          <w:rFonts w:ascii="Times New Roman" w:hAnsi="Times New Roman" w:cs="Times New Roman"/>
          <w:i/>
          <w:iCs/>
          <w:sz w:val="24"/>
          <w:szCs w:val="24"/>
          <w:lang w:val="ru-RU"/>
        </w:rPr>
        <w:t xml:space="preserve">и общинските гаранции </w:t>
      </w:r>
      <w:r w:rsidRPr="00E81A6E">
        <w:rPr>
          <w:rFonts w:ascii="Times New Roman" w:hAnsi="Times New Roman" w:cs="Times New Roman"/>
          <w:i/>
          <w:iCs/>
          <w:sz w:val="24"/>
          <w:szCs w:val="24"/>
          <w:lang w:val="ru-RU"/>
        </w:rPr>
        <w:t>са под законов</w:t>
      </w:r>
      <w:r w:rsidR="00C03BA7" w:rsidRPr="00E81A6E">
        <w:rPr>
          <w:rFonts w:ascii="Times New Roman" w:hAnsi="Times New Roman" w:cs="Times New Roman"/>
          <w:i/>
          <w:iCs/>
          <w:sz w:val="24"/>
          <w:szCs w:val="24"/>
          <w:lang w:val="ru-RU"/>
        </w:rPr>
        <w:t>о регламентирания</w:t>
      </w:r>
      <w:r w:rsidRPr="00E81A6E">
        <w:rPr>
          <w:rFonts w:ascii="Times New Roman" w:hAnsi="Times New Roman" w:cs="Times New Roman"/>
          <w:i/>
          <w:iCs/>
          <w:sz w:val="24"/>
          <w:szCs w:val="24"/>
          <w:lang w:val="ru-RU"/>
        </w:rPr>
        <w:t xml:space="preserve"> максимум</w:t>
      </w:r>
      <w:r w:rsidR="00C03BA7" w:rsidRPr="00E81A6E">
        <w:rPr>
          <w:rFonts w:ascii="Times New Roman" w:hAnsi="Times New Roman" w:cs="Times New Roman"/>
          <w:i/>
          <w:iCs/>
          <w:sz w:val="24"/>
          <w:szCs w:val="24"/>
          <w:lang w:val="ru-RU"/>
        </w:rPr>
        <w:t>;</w:t>
      </w:r>
    </w:p>
    <w:p w14:paraId="4543442C" w14:textId="77777777" w:rsidR="006F5B92" w:rsidRPr="00E81A6E" w:rsidRDefault="00C03BA7" w:rsidP="00350B12">
      <w:pPr>
        <w:pStyle w:val="ListParagraph"/>
        <w:numPr>
          <w:ilvl w:val="0"/>
          <w:numId w:val="9"/>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Провежда се а</w:t>
      </w:r>
      <w:r w:rsidR="006F5B92" w:rsidRPr="00E81A6E">
        <w:rPr>
          <w:rFonts w:ascii="Times New Roman" w:hAnsi="Times New Roman" w:cs="Times New Roman"/>
          <w:i/>
          <w:iCs/>
          <w:sz w:val="24"/>
          <w:szCs w:val="24"/>
          <w:lang w:val="ru-RU"/>
        </w:rPr>
        <w:t>ктивна политика в съответствие с инвестиционните приоритети;</w:t>
      </w:r>
    </w:p>
    <w:p w14:paraId="409B34CF" w14:textId="77777777" w:rsidR="006F5B92" w:rsidRPr="00E81A6E" w:rsidRDefault="006F5B92" w:rsidP="00350B12">
      <w:pPr>
        <w:pStyle w:val="ListParagraph"/>
        <w:numPr>
          <w:ilvl w:val="0"/>
          <w:numId w:val="9"/>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i/>
          <w:iCs/>
          <w:sz w:val="24"/>
          <w:szCs w:val="24"/>
          <w:lang w:val="ru-RU"/>
        </w:rPr>
        <w:t>Дългосрочният</w:t>
      </w:r>
      <w:r w:rsidRPr="00E81A6E">
        <w:rPr>
          <w:rFonts w:ascii="Times New Roman" w:hAnsi="Times New Roman" w:cs="Times New Roman"/>
          <w:i/>
          <w:iCs/>
          <w:sz w:val="24"/>
          <w:szCs w:val="24"/>
          <w:lang w:val="bg-BG"/>
        </w:rPr>
        <w:t xml:space="preserve"> </w:t>
      </w:r>
      <w:r w:rsidRPr="00E81A6E">
        <w:rPr>
          <w:rFonts w:ascii="Times New Roman" w:hAnsi="Times New Roman" w:cs="Times New Roman"/>
          <w:i/>
          <w:iCs/>
          <w:sz w:val="24"/>
          <w:szCs w:val="24"/>
          <w:lang w:val="ru-RU"/>
        </w:rPr>
        <w:t>матуритетен профил на заемите поддържа ниски нивата на годишното обслужване на дълга.</w:t>
      </w:r>
    </w:p>
    <w:p w14:paraId="1D45C776" w14:textId="77777777" w:rsidR="003E3FC6" w:rsidRPr="00E81A6E" w:rsidRDefault="003E3FC6" w:rsidP="003E3FC6">
      <w:pPr>
        <w:pStyle w:val="ListParagraph"/>
        <w:spacing w:after="0" w:line="240" w:lineRule="auto"/>
        <w:ind w:left="360"/>
        <w:contextualSpacing/>
        <w:jc w:val="both"/>
        <w:rPr>
          <w:rFonts w:ascii="Times New Roman" w:hAnsi="Times New Roman" w:cs="Times New Roman"/>
          <w:sz w:val="24"/>
          <w:szCs w:val="24"/>
          <w:lang w:val="ru-RU"/>
        </w:rPr>
      </w:pPr>
    </w:p>
    <w:p w14:paraId="1901C0AD" w14:textId="77777777" w:rsidR="004F0B8E" w:rsidRPr="00E81A6E" w:rsidRDefault="006F5B92" w:rsidP="00F55B06">
      <w:pPr>
        <w:pStyle w:val="Heading1"/>
        <w:spacing w:before="0" w:after="0"/>
        <w:ind w:firstLine="720"/>
        <w:contextualSpacing/>
        <w:jc w:val="both"/>
        <w:rPr>
          <w:rFonts w:ascii="Times New Roman" w:hAnsi="Times New Roman" w:cs="Times New Roman"/>
          <w:color w:val="auto"/>
          <w:sz w:val="24"/>
          <w:szCs w:val="24"/>
          <w:lang w:val="ru-RU"/>
        </w:rPr>
      </w:pPr>
      <w:bookmarkStart w:id="64" w:name="_Toc61971773"/>
      <w:bookmarkStart w:id="65" w:name="_Toc409874549"/>
      <w:bookmarkStart w:id="66" w:name="_Toc499639778"/>
      <w:bookmarkStart w:id="67" w:name="_Toc500496074"/>
      <w:bookmarkStart w:id="68" w:name="_Toc500496420"/>
      <w:bookmarkStart w:id="69" w:name="_Toc503629621"/>
      <w:r w:rsidRPr="00E81A6E">
        <w:rPr>
          <w:rFonts w:ascii="Times New Roman" w:hAnsi="Times New Roman" w:cs="Times New Roman"/>
          <w:color w:val="auto"/>
          <w:sz w:val="24"/>
          <w:szCs w:val="24"/>
          <w:lang w:val="bg-BG"/>
        </w:rPr>
        <w:t>БЮДЖЕТ 20</w:t>
      </w:r>
      <w:r w:rsidR="00A21B27" w:rsidRPr="00E81A6E">
        <w:rPr>
          <w:rFonts w:ascii="Times New Roman" w:hAnsi="Times New Roman" w:cs="Times New Roman"/>
          <w:color w:val="auto"/>
          <w:sz w:val="24"/>
          <w:szCs w:val="24"/>
          <w:lang w:val="bg-BG"/>
        </w:rPr>
        <w:t>2</w:t>
      </w:r>
      <w:r w:rsidR="002A3842" w:rsidRPr="00E81A6E">
        <w:rPr>
          <w:rFonts w:ascii="Times New Roman" w:hAnsi="Times New Roman" w:cs="Times New Roman"/>
          <w:color w:val="auto"/>
          <w:sz w:val="24"/>
          <w:szCs w:val="24"/>
          <w:lang w:val="bg-BG"/>
        </w:rPr>
        <w:t>1</w:t>
      </w:r>
      <w:r w:rsidRPr="00E81A6E">
        <w:rPr>
          <w:rFonts w:ascii="Times New Roman" w:hAnsi="Times New Roman" w:cs="Times New Roman"/>
          <w:color w:val="auto"/>
          <w:sz w:val="24"/>
          <w:szCs w:val="24"/>
          <w:lang w:val="bg-BG"/>
        </w:rPr>
        <w:t xml:space="preserve"> - </w:t>
      </w:r>
      <w:r w:rsidRPr="00E81A6E">
        <w:rPr>
          <w:rFonts w:ascii="Times New Roman" w:hAnsi="Times New Roman" w:cs="Times New Roman"/>
          <w:color w:val="auto"/>
          <w:sz w:val="24"/>
          <w:szCs w:val="24"/>
          <w:lang w:val="ru-RU"/>
        </w:rPr>
        <w:t>РАЗПРЕДЕЛЕНИЕ НА РАЗХОДИТЕ</w:t>
      </w:r>
      <w:bookmarkEnd w:id="64"/>
      <w:r w:rsidRPr="00E81A6E">
        <w:rPr>
          <w:rFonts w:ascii="Times New Roman" w:hAnsi="Times New Roman" w:cs="Times New Roman"/>
          <w:color w:val="auto"/>
          <w:sz w:val="24"/>
          <w:szCs w:val="24"/>
          <w:lang w:val="ru-RU"/>
        </w:rPr>
        <w:t xml:space="preserve"> </w:t>
      </w:r>
      <w:bookmarkEnd w:id="65"/>
      <w:bookmarkEnd w:id="66"/>
      <w:bookmarkEnd w:id="67"/>
      <w:bookmarkEnd w:id="68"/>
      <w:bookmarkEnd w:id="69"/>
    </w:p>
    <w:p w14:paraId="73497946" w14:textId="77777777" w:rsidR="003E3FC6" w:rsidRPr="00E81A6E" w:rsidRDefault="003E3FC6"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p>
    <w:p w14:paraId="64BE56C2" w14:textId="77777777" w:rsidR="004F0B8E" w:rsidRPr="00E81A6E" w:rsidRDefault="004F0B8E"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След периода на бърз ръст между 2014 и 2019 г. и свързаните с него рекордно висока заетост и ниска безработица, икономиката на София е изправена пред значително забавяне през 2020г., вследствие на епидемията от коронавирус, мерките за нейното ограничаване, повишаването на икономическата несигурност и сходна криза в основните търговски партньори на страната. Ударът върху икономиката на София остава концентриран в директно засегнатите от ограничителните мерки сектори – свързани с всекидневния градски живот.</w:t>
      </w:r>
    </w:p>
    <w:p w14:paraId="751332B4" w14:textId="77777777" w:rsidR="006F5B92" w:rsidRPr="00E81A6E" w:rsidRDefault="006F5B92" w:rsidP="00F55B06">
      <w:pPr>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 рамките на бюджета за 20</w:t>
      </w:r>
      <w:r w:rsidR="00A21B27" w:rsidRPr="00E81A6E">
        <w:rPr>
          <w:rFonts w:ascii="Times New Roman" w:hAnsi="Times New Roman" w:cs="Times New Roman"/>
          <w:sz w:val="24"/>
          <w:szCs w:val="24"/>
          <w:lang w:val="bg-BG"/>
        </w:rPr>
        <w:t>2</w:t>
      </w:r>
      <w:r w:rsidR="002A3842" w:rsidRPr="00E81A6E">
        <w:rPr>
          <w:rFonts w:ascii="Times New Roman" w:hAnsi="Times New Roman" w:cs="Times New Roman"/>
          <w:sz w:val="24"/>
          <w:szCs w:val="24"/>
          <w:lang w:val="bg-BG"/>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bg-BG"/>
        </w:rPr>
        <w:t xml:space="preserve"> продължава прилагането</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на инструменти и мерки, пряко повлияващи качеството на предоставяните услуги и тяхното управление, както и осигуряващи възможности за обвързване на резултатите с финансирането, като продължава прилагане на програмно бюджетира</w:t>
      </w:r>
      <w:r w:rsidR="00E91F9F" w:rsidRPr="00E81A6E">
        <w:rPr>
          <w:rFonts w:ascii="Times New Roman" w:hAnsi="Times New Roman" w:cs="Times New Roman"/>
          <w:sz w:val="24"/>
          <w:szCs w:val="24"/>
          <w:lang w:val="bg-BG"/>
        </w:rPr>
        <w:t>не във функция „Здравеопазване“</w:t>
      </w:r>
      <w:r w:rsidRPr="00E81A6E">
        <w:rPr>
          <w:rFonts w:ascii="Times New Roman" w:hAnsi="Times New Roman" w:cs="Times New Roman"/>
          <w:sz w:val="24"/>
          <w:szCs w:val="24"/>
          <w:lang w:val="bg-BG"/>
        </w:rPr>
        <w:t xml:space="preserve"> с Програма „Общински болници“. </w:t>
      </w:r>
    </w:p>
    <w:p w14:paraId="7C8D289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При разработване на разходната част на бюджета за 20</w:t>
      </w:r>
      <w:r w:rsidR="00725E3F" w:rsidRPr="00E81A6E">
        <w:rPr>
          <w:rFonts w:ascii="Times New Roman" w:hAnsi="Times New Roman" w:cs="Times New Roman"/>
          <w:sz w:val="24"/>
          <w:szCs w:val="24"/>
          <w:lang w:val="ru-RU"/>
        </w:rPr>
        <w:t>2</w:t>
      </w:r>
      <w:r w:rsidR="002A3842"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е набрана </w:t>
      </w:r>
      <w:r w:rsidR="008318A2" w:rsidRPr="00E81A6E">
        <w:rPr>
          <w:rFonts w:ascii="Times New Roman" w:hAnsi="Times New Roman" w:cs="Times New Roman"/>
          <w:sz w:val="24"/>
          <w:szCs w:val="24"/>
          <w:lang w:val="ru-RU"/>
        </w:rPr>
        <w:t xml:space="preserve">и </w:t>
      </w:r>
      <w:r w:rsidRPr="00E81A6E">
        <w:rPr>
          <w:rFonts w:ascii="Times New Roman" w:hAnsi="Times New Roman" w:cs="Times New Roman"/>
          <w:sz w:val="24"/>
          <w:szCs w:val="24"/>
          <w:lang w:val="ru-RU"/>
        </w:rPr>
        <w:t>анализирана информация от всички второстепенни и от по-ниска степен разпоредители с бюджет: райони, дирекции, общински предприятия. Намалени са еднократно предоставените разходи</w:t>
      </w:r>
      <w:r w:rsidR="008318A2"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w:t>
      </w:r>
      <w:r w:rsidR="008318A2" w:rsidRPr="00E81A6E">
        <w:rPr>
          <w:rFonts w:ascii="Times New Roman" w:hAnsi="Times New Roman" w:cs="Times New Roman"/>
          <w:sz w:val="24"/>
          <w:szCs w:val="24"/>
          <w:lang w:val="ru-RU"/>
        </w:rPr>
        <w:t>А</w:t>
      </w:r>
      <w:r w:rsidRPr="00E81A6E">
        <w:rPr>
          <w:rFonts w:ascii="Times New Roman" w:hAnsi="Times New Roman" w:cs="Times New Roman"/>
          <w:sz w:val="24"/>
          <w:szCs w:val="24"/>
          <w:lang w:val="ru-RU"/>
        </w:rPr>
        <w:t>нализирана е тенденцията на разходите на база отчетни данни</w:t>
      </w:r>
      <w:r w:rsidR="00E91F9F" w:rsidRPr="00E81A6E">
        <w:rPr>
          <w:rFonts w:ascii="Times New Roman" w:hAnsi="Times New Roman" w:cs="Times New Roman"/>
          <w:sz w:val="24"/>
          <w:szCs w:val="24"/>
          <w:lang w:val="ru-RU"/>
        </w:rPr>
        <w:t xml:space="preserve"> в условията на епидемична обстановка</w:t>
      </w:r>
      <w:r w:rsidRPr="00E81A6E">
        <w:rPr>
          <w:rFonts w:ascii="Times New Roman" w:hAnsi="Times New Roman" w:cs="Times New Roman"/>
          <w:sz w:val="24"/>
          <w:szCs w:val="24"/>
          <w:lang w:val="ru-RU"/>
        </w:rPr>
        <w:t xml:space="preserve">. Формирането на разходите по дейности е в рамките на размера на </w:t>
      </w:r>
      <w:r w:rsidR="002A3842" w:rsidRPr="00E81A6E">
        <w:rPr>
          <w:rFonts w:ascii="Times New Roman" w:hAnsi="Times New Roman" w:cs="Times New Roman"/>
          <w:sz w:val="24"/>
          <w:szCs w:val="24"/>
          <w:lang w:val="ru-RU"/>
        </w:rPr>
        <w:t>прогнозните</w:t>
      </w:r>
      <w:r w:rsidR="00820D33"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приходи за местни дейности</w:t>
      </w:r>
      <w:r w:rsidR="00E77D61" w:rsidRPr="00E81A6E">
        <w:rPr>
          <w:rFonts w:ascii="Times New Roman" w:hAnsi="Times New Roman" w:cs="Times New Roman"/>
          <w:sz w:val="24"/>
          <w:szCs w:val="24"/>
          <w:lang w:val="ru-RU"/>
        </w:rPr>
        <w:t xml:space="preserve"> и</w:t>
      </w:r>
      <w:r w:rsidRPr="00E81A6E">
        <w:rPr>
          <w:rFonts w:ascii="Times New Roman" w:hAnsi="Times New Roman" w:cs="Times New Roman"/>
          <w:sz w:val="24"/>
          <w:szCs w:val="24"/>
          <w:lang w:val="ru-RU"/>
        </w:rPr>
        <w:t xml:space="preserve"> трансферите от централния бюджет</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w:t>
      </w:r>
    </w:p>
    <w:p w14:paraId="4E5BE760" w14:textId="77777777" w:rsidR="00820D33" w:rsidRDefault="00820D33" w:rsidP="00F55B06">
      <w:pPr>
        <w:spacing w:after="0" w:line="240" w:lineRule="auto"/>
        <w:ind w:firstLine="720"/>
        <w:contextualSpacing/>
        <w:jc w:val="both"/>
        <w:rPr>
          <w:rFonts w:ascii="Times New Roman" w:hAnsi="Times New Roman" w:cs="Times New Roman"/>
          <w:bCs/>
          <w:sz w:val="24"/>
          <w:szCs w:val="24"/>
          <w:lang w:val="bg-BG"/>
        </w:rPr>
      </w:pPr>
      <w:r w:rsidRPr="00E81A6E">
        <w:rPr>
          <w:rFonts w:ascii="Times New Roman" w:hAnsi="Times New Roman" w:cs="Times New Roman"/>
          <w:bCs/>
          <w:sz w:val="24"/>
          <w:szCs w:val="24"/>
        </w:rPr>
        <w:t xml:space="preserve">При условие че през 2021 г. ситуацията с пандемията от COVID-19 се влоши, което да доведе до </w:t>
      </w:r>
      <w:r w:rsidR="001C756F" w:rsidRPr="00E81A6E">
        <w:rPr>
          <w:rFonts w:ascii="Times New Roman" w:hAnsi="Times New Roman" w:cs="Times New Roman"/>
          <w:bCs/>
          <w:sz w:val="24"/>
          <w:szCs w:val="24"/>
          <w:lang w:val="bg-BG"/>
        </w:rPr>
        <w:t xml:space="preserve">неизпълнение на собствените приходи и/или </w:t>
      </w:r>
      <w:r w:rsidRPr="00E81A6E">
        <w:rPr>
          <w:rFonts w:ascii="Times New Roman" w:hAnsi="Times New Roman" w:cs="Times New Roman"/>
          <w:bCs/>
          <w:sz w:val="24"/>
          <w:szCs w:val="24"/>
        </w:rPr>
        <w:t>необходимост от извънредно осигуряване на ресурси, свъ</w:t>
      </w:r>
      <w:r w:rsidR="006A5ABD" w:rsidRPr="00E81A6E">
        <w:rPr>
          <w:rFonts w:ascii="Times New Roman" w:hAnsi="Times New Roman" w:cs="Times New Roman"/>
          <w:bCs/>
          <w:sz w:val="24"/>
          <w:szCs w:val="24"/>
        </w:rPr>
        <w:t>рзани с лечението на заболелите</w:t>
      </w:r>
      <w:r w:rsidRPr="00E81A6E">
        <w:rPr>
          <w:rFonts w:ascii="Times New Roman" w:hAnsi="Times New Roman" w:cs="Times New Roman"/>
          <w:bCs/>
          <w:sz w:val="24"/>
          <w:szCs w:val="24"/>
          <w:lang w:val="bg-BG"/>
        </w:rPr>
        <w:t xml:space="preserve"> граждани в общинските болници </w:t>
      </w:r>
      <w:r w:rsidRPr="00E81A6E">
        <w:rPr>
          <w:rFonts w:ascii="Times New Roman" w:hAnsi="Times New Roman" w:cs="Times New Roman"/>
          <w:bCs/>
          <w:sz w:val="24"/>
          <w:szCs w:val="24"/>
          <w:lang w:val="bg-BG"/>
        </w:rPr>
        <w:lastRenderedPageBreak/>
        <w:t>и диагностично консултативните центрове</w:t>
      </w:r>
      <w:r w:rsidRPr="00E81A6E">
        <w:rPr>
          <w:rFonts w:ascii="Times New Roman" w:hAnsi="Times New Roman" w:cs="Times New Roman"/>
          <w:bCs/>
          <w:sz w:val="24"/>
          <w:szCs w:val="24"/>
        </w:rPr>
        <w:t xml:space="preserve">, </w:t>
      </w:r>
      <w:r w:rsidRPr="00E81A6E">
        <w:rPr>
          <w:rFonts w:ascii="Times New Roman" w:hAnsi="Times New Roman" w:cs="Times New Roman"/>
          <w:bCs/>
          <w:sz w:val="24"/>
          <w:szCs w:val="24"/>
          <w:lang w:val="bg-BG"/>
        </w:rPr>
        <w:t xml:space="preserve">както и за извършване на допълнителни разходи </w:t>
      </w:r>
      <w:r w:rsidR="00AE5FA9" w:rsidRPr="00E81A6E">
        <w:rPr>
          <w:rFonts w:ascii="Times New Roman" w:hAnsi="Times New Roman" w:cs="Times New Roman"/>
          <w:bCs/>
          <w:sz w:val="24"/>
          <w:szCs w:val="24"/>
          <w:lang w:val="bg-BG"/>
        </w:rPr>
        <w:t>в</w:t>
      </w:r>
      <w:r w:rsidRPr="00E81A6E">
        <w:rPr>
          <w:rFonts w:ascii="Times New Roman" w:hAnsi="Times New Roman" w:cs="Times New Roman"/>
          <w:bCs/>
          <w:sz w:val="24"/>
          <w:szCs w:val="24"/>
          <w:lang w:val="bg-BG"/>
        </w:rPr>
        <w:t xml:space="preserve"> социалната сфера, </w:t>
      </w:r>
      <w:r w:rsidRPr="00E81A6E">
        <w:rPr>
          <w:rFonts w:ascii="Times New Roman" w:hAnsi="Times New Roman" w:cs="Times New Roman"/>
          <w:bCs/>
          <w:sz w:val="24"/>
          <w:szCs w:val="24"/>
        </w:rPr>
        <w:t xml:space="preserve">се предвижда да бъдат буферирани средства в размер на </w:t>
      </w:r>
      <w:r w:rsidR="00AE5FA9" w:rsidRPr="00E81A6E">
        <w:rPr>
          <w:rFonts w:ascii="Times New Roman" w:hAnsi="Times New Roman" w:cs="Times New Roman"/>
          <w:bCs/>
          <w:sz w:val="24"/>
          <w:szCs w:val="24"/>
          <w:lang w:val="bg-BG"/>
        </w:rPr>
        <w:t>5</w:t>
      </w:r>
      <w:r w:rsidRPr="00E81A6E">
        <w:rPr>
          <w:rFonts w:ascii="Times New Roman" w:hAnsi="Times New Roman" w:cs="Times New Roman"/>
          <w:bCs/>
          <w:sz w:val="24"/>
          <w:szCs w:val="24"/>
        </w:rPr>
        <w:t xml:space="preserve"> на сто от </w:t>
      </w:r>
      <w:r w:rsidR="006A5ABD" w:rsidRPr="00E81A6E">
        <w:rPr>
          <w:rFonts w:ascii="Times New Roman" w:hAnsi="Times New Roman" w:cs="Times New Roman"/>
          <w:bCs/>
          <w:sz w:val="24"/>
          <w:szCs w:val="24"/>
          <w:lang w:val="bg-BG"/>
        </w:rPr>
        <w:t xml:space="preserve">текущата </w:t>
      </w:r>
      <w:r w:rsidRPr="00E81A6E">
        <w:rPr>
          <w:rFonts w:ascii="Times New Roman" w:hAnsi="Times New Roman" w:cs="Times New Roman"/>
          <w:bCs/>
          <w:sz w:val="24"/>
          <w:szCs w:val="24"/>
          <w:lang w:val="bg-BG"/>
        </w:rPr>
        <w:t xml:space="preserve">издръжка </w:t>
      </w:r>
      <w:r w:rsidRPr="00E81A6E">
        <w:rPr>
          <w:rFonts w:ascii="Times New Roman" w:hAnsi="Times New Roman" w:cs="Times New Roman"/>
          <w:bCs/>
          <w:sz w:val="24"/>
          <w:szCs w:val="24"/>
        </w:rPr>
        <w:t xml:space="preserve">на част от </w:t>
      </w:r>
      <w:r w:rsidRPr="00E81A6E">
        <w:rPr>
          <w:rFonts w:ascii="Times New Roman" w:hAnsi="Times New Roman" w:cs="Times New Roman"/>
          <w:bCs/>
          <w:sz w:val="24"/>
          <w:szCs w:val="24"/>
          <w:lang w:val="bg-BG"/>
        </w:rPr>
        <w:t>местните дейности</w:t>
      </w:r>
      <w:r w:rsidR="006A5ABD" w:rsidRPr="00E81A6E">
        <w:rPr>
          <w:rFonts w:ascii="Times New Roman" w:hAnsi="Times New Roman" w:cs="Times New Roman"/>
          <w:bCs/>
          <w:sz w:val="24"/>
          <w:szCs w:val="24"/>
          <w:lang w:val="bg-BG"/>
        </w:rPr>
        <w:t xml:space="preserve">. Това ще даде възможност </w:t>
      </w:r>
      <w:r w:rsidR="001C756F" w:rsidRPr="00E81A6E">
        <w:rPr>
          <w:rFonts w:ascii="Times New Roman" w:hAnsi="Times New Roman" w:cs="Times New Roman"/>
          <w:bCs/>
          <w:sz w:val="24"/>
          <w:szCs w:val="24"/>
          <w:lang w:val="bg-BG"/>
        </w:rPr>
        <w:t xml:space="preserve">също </w:t>
      </w:r>
      <w:r w:rsidR="008318A2" w:rsidRPr="00E81A6E">
        <w:rPr>
          <w:rFonts w:ascii="Times New Roman" w:hAnsi="Times New Roman" w:cs="Times New Roman"/>
          <w:bCs/>
          <w:sz w:val="24"/>
          <w:szCs w:val="24"/>
          <w:lang w:val="bg-BG"/>
        </w:rPr>
        <w:t xml:space="preserve">така </w:t>
      </w:r>
      <w:r w:rsidR="006A5ABD" w:rsidRPr="00E81A6E">
        <w:rPr>
          <w:rFonts w:ascii="Times New Roman" w:hAnsi="Times New Roman" w:cs="Times New Roman"/>
          <w:bCs/>
          <w:sz w:val="24"/>
          <w:szCs w:val="24"/>
        </w:rPr>
        <w:t>за</w:t>
      </w:r>
      <w:r w:rsidR="006A5ABD" w:rsidRPr="00E81A6E">
        <w:rPr>
          <w:rFonts w:ascii="Times New Roman" w:hAnsi="Times New Roman" w:cs="Times New Roman"/>
          <w:bCs/>
          <w:sz w:val="24"/>
          <w:szCs w:val="24"/>
          <w:lang w:val="bg-BG"/>
        </w:rPr>
        <w:t xml:space="preserve"> </w:t>
      </w:r>
      <w:r w:rsidRPr="00E81A6E">
        <w:rPr>
          <w:rFonts w:ascii="Times New Roman" w:hAnsi="Times New Roman" w:cs="Times New Roman"/>
          <w:bCs/>
          <w:sz w:val="24"/>
          <w:szCs w:val="24"/>
        </w:rPr>
        <w:t>осигуряване на ресурс за форсмажорно извършване на разходи, свързани със закупуване на апаратура, предпазни средства, дезинфектанти</w:t>
      </w:r>
      <w:r w:rsidR="00AE5FA9" w:rsidRPr="00E81A6E">
        <w:rPr>
          <w:rFonts w:ascii="Times New Roman" w:hAnsi="Times New Roman" w:cs="Times New Roman"/>
          <w:bCs/>
          <w:sz w:val="24"/>
          <w:szCs w:val="24"/>
        </w:rPr>
        <w:t xml:space="preserve"> и други. </w:t>
      </w:r>
    </w:p>
    <w:p w14:paraId="3C391534" w14:textId="77777777" w:rsidR="00641DCB" w:rsidRPr="00641DCB" w:rsidRDefault="00641DCB" w:rsidP="00F55B06">
      <w:pPr>
        <w:spacing w:after="0" w:line="240" w:lineRule="auto"/>
        <w:ind w:firstLine="720"/>
        <w:contextualSpacing/>
        <w:jc w:val="both"/>
        <w:rPr>
          <w:rFonts w:ascii="Times New Roman" w:hAnsi="Times New Roman" w:cs="Times New Roman"/>
          <w:bCs/>
          <w:sz w:val="24"/>
          <w:szCs w:val="24"/>
          <w:lang w:val="bg-BG"/>
        </w:rPr>
      </w:pPr>
    </w:p>
    <w:p w14:paraId="36C82DB6"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Разходите на Столична община за 20</w:t>
      </w:r>
      <w:r w:rsidR="00A21B27" w:rsidRPr="00E81A6E">
        <w:rPr>
          <w:rFonts w:ascii="Times New Roman" w:hAnsi="Times New Roman" w:cs="Times New Roman"/>
          <w:sz w:val="24"/>
          <w:szCs w:val="24"/>
          <w:lang w:val="ru-RU"/>
        </w:rPr>
        <w:t>2</w:t>
      </w:r>
      <w:r w:rsidR="00BE10C0"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са в размер на</w:t>
      </w:r>
      <w:r w:rsidRPr="00E81A6E">
        <w:rPr>
          <w:rFonts w:ascii="Times New Roman" w:hAnsi="Times New Roman" w:cs="Times New Roman"/>
          <w:b/>
          <w:bCs/>
          <w:sz w:val="24"/>
          <w:szCs w:val="24"/>
          <w:lang w:val="ru-RU"/>
        </w:rPr>
        <w:t xml:space="preserve"> 1,</w:t>
      </w:r>
      <w:r w:rsidR="00BE10C0" w:rsidRPr="00E81A6E">
        <w:rPr>
          <w:rFonts w:ascii="Times New Roman" w:hAnsi="Times New Roman" w:cs="Times New Roman"/>
          <w:b/>
          <w:bCs/>
          <w:sz w:val="24"/>
          <w:szCs w:val="24"/>
          <w:lang w:val="ru-RU"/>
        </w:rPr>
        <w:t>8</w:t>
      </w:r>
      <w:r w:rsidR="00A118E7" w:rsidRPr="00E81A6E">
        <w:rPr>
          <w:rFonts w:ascii="Times New Roman" w:hAnsi="Times New Roman" w:cs="Times New Roman"/>
          <w:b/>
          <w:bCs/>
          <w:sz w:val="24"/>
          <w:szCs w:val="24"/>
          <w:lang w:val="ru-RU"/>
        </w:rPr>
        <w:t>8</w:t>
      </w:r>
      <w:r w:rsidR="002115F4" w:rsidRPr="00E81A6E">
        <w:rPr>
          <w:rFonts w:ascii="Times New Roman" w:hAnsi="Times New Roman" w:cs="Times New Roman"/>
          <w:b/>
          <w:bCs/>
          <w:sz w:val="24"/>
          <w:szCs w:val="24"/>
          <w:lang w:val="ru-RU"/>
        </w:rPr>
        <w:t>5</w:t>
      </w:r>
      <w:r w:rsidRPr="00E81A6E">
        <w:rPr>
          <w:rFonts w:ascii="Times New Roman" w:hAnsi="Times New Roman" w:cs="Times New Roman"/>
          <w:b/>
          <w:bCs/>
          <w:sz w:val="24"/>
          <w:szCs w:val="24"/>
          <w:lang w:val="ru-RU"/>
        </w:rPr>
        <w:t>,</w:t>
      </w:r>
      <w:r w:rsidR="002115F4" w:rsidRPr="00E81A6E">
        <w:rPr>
          <w:rFonts w:ascii="Times New Roman" w:hAnsi="Times New Roman" w:cs="Times New Roman"/>
          <w:b/>
          <w:bCs/>
          <w:sz w:val="24"/>
          <w:szCs w:val="24"/>
          <w:lang w:val="ru-RU"/>
        </w:rPr>
        <w:t>4</w:t>
      </w:r>
      <w:r w:rsidR="00E91F9F" w:rsidRPr="00E81A6E">
        <w:rPr>
          <w:rFonts w:ascii="Times New Roman" w:hAnsi="Times New Roman" w:cs="Times New Roman"/>
          <w:b/>
          <w:bCs/>
          <w:sz w:val="24"/>
          <w:szCs w:val="24"/>
          <w:lang w:val="ru-RU"/>
        </w:rPr>
        <w:t>04</w:t>
      </w:r>
      <w:r w:rsidRPr="00E81A6E">
        <w:rPr>
          <w:rFonts w:ascii="Times New Roman" w:hAnsi="Times New Roman" w:cs="Times New Roman"/>
          <w:b/>
          <w:bCs/>
          <w:sz w:val="24"/>
          <w:szCs w:val="24"/>
          <w:lang w:val="ru-RU"/>
        </w:rPr>
        <w:t>,</w:t>
      </w:r>
      <w:r w:rsidR="00E91F9F" w:rsidRPr="00E81A6E">
        <w:rPr>
          <w:rFonts w:ascii="Times New Roman" w:hAnsi="Times New Roman" w:cs="Times New Roman"/>
          <w:b/>
          <w:bCs/>
          <w:sz w:val="24"/>
          <w:szCs w:val="24"/>
          <w:lang w:val="ru-RU"/>
        </w:rPr>
        <w:t>5</w:t>
      </w:r>
      <w:r w:rsidR="00A118E7" w:rsidRPr="00E81A6E">
        <w:rPr>
          <w:rFonts w:ascii="Times New Roman" w:hAnsi="Times New Roman" w:cs="Times New Roman"/>
          <w:b/>
          <w:bCs/>
          <w:sz w:val="24"/>
          <w:szCs w:val="24"/>
          <w:lang w:val="ru-RU"/>
        </w:rPr>
        <w:t>0</w:t>
      </w:r>
      <w:r w:rsidR="008318A2" w:rsidRPr="00E81A6E">
        <w:rPr>
          <w:rFonts w:ascii="Times New Roman" w:hAnsi="Times New Roman" w:cs="Times New Roman"/>
          <w:b/>
          <w:bCs/>
          <w:sz w:val="24"/>
          <w:szCs w:val="24"/>
          <w:lang w:val="ru-RU"/>
        </w:rPr>
        <w:t>1</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bg-BG"/>
        </w:rPr>
        <w:t>,</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както следва:</w:t>
      </w:r>
    </w:p>
    <w:p w14:paraId="388E5ECF" w14:textId="77777777" w:rsidR="006F5B92" w:rsidRPr="00E81A6E" w:rsidRDefault="006F5B92" w:rsidP="00350B12">
      <w:pPr>
        <w:pStyle w:val="ListParagraph"/>
        <w:numPr>
          <w:ilvl w:val="0"/>
          <w:numId w:val="10"/>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бюджетни средства </w:t>
      </w:r>
      <w:r w:rsidRPr="00E81A6E">
        <w:rPr>
          <w:rFonts w:ascii="Times New Roman" w:hAnsi="Times New Roman" w:cs="Times New Roman"/>
          <w:i/>
          <w:iCs/>
          <w:sz w:val="24"/>
          <w:szCs w:val="24"/>
          <w:lang w:val="bg-BG"/>
        </w:rPr>
        <w:t>1,</w:t>
      </w:r>
      <w:r w:rsidR="00A118E7" w:rsidRPr="00E81A6E">
        <w:rPr>
          <w:rFonts w:ascii="Times New Roman" w:hAnsi="Times New Roman" w:cs="Times New Roman"/>
          <w:i/>
          <w:iCs/>
          <w:sz w:val="24"/>
          <w:szCs w:val="24"/>
          <w:lang w:val="bg-BG"/>
        </w:rPr>
        <w:t>58</w:t>
      </w:r>
      <w:r w:rsidR="002115F4" w:rsidRPr="00E81A6E">
        <w:rPr>
          <w:rFonts w:ascii="Times New Roman" w:hAnsi="Times New Roman" w:cs="Times New Roman"/>
          <w:i/>
          <w:iCs/>
          <w:sz w:val="24"/>
          <w:szCs w:val="24"/>
          <w:lang w:val="bg-BG"/>
        </w:rPr>
        <w:t>9</w:t>
      </w:r>
      <w:r w:rsidRPr="00E81A6E">
        <w:rPr>
          <w:rFonts w:ascii="Times New Roman" w:hAnsi="Times New Roman" w:cs="Times New Roman"/>
          <w:i/>
          <w:iCs/>
          <w:sz w:val="24"/>
          <w:szCs w:val="24"/>
        </w:rPr>
        <w:t>,</w:t>
      </w:r>
      <w:r w:rsidR="002115F4" w:rsidRPr="00E81A6E">
        <w:rPr>
          <w:rFonts w:ascii="Times New Roman" w:hAnsi="Times New Roman" w:cs="Times New Roman"/>
          <w:i/>
          <w:iCs/>
          <w:sz w:val="24"/>
          <w:szCs w:val="24"/>
          <w:lang w:val="bg-BG"/>
        </w:rPr>
        <w:t>1</w:t>
      </w:r>
      <w:r w:rsidR="00E91F9F" w:rsidRPr="00E81A6E">
        <w:rPr>
          <w:rFonts w:ascii="Times New Roman" w:hAnsi="Times New Roman" w:cs="Times New Roman"/>
          <w:i/>
          <w:iCs/>
          <w:sz w:val="24"/>
          <w:szCs w:val="24"/>
          <w:lang w:val="bg-BG"/>
        </w:rPr>
        <w:t>74</w:t>
      </w:r>
      <w:r w:rsidRPr="00E81A6E">
        <w:rPr>
          <w:rFonts w:ascii="Times New Roman" w:hAnsi="Times New Roman" w:cs="Times New Roman"/>
          <w:i/>
          <w:iCs/>
          <w:sz w:val="24"/>
          <w:szCs w:val="24"/>
        </w:rPr>
        <w:t>,</w:t>
      </w:r>
      <w:r w:rsidR="00E91F9F" w:rsidRPr="00E81A6E">
        <w:rPr>
          <w:rFonts w:ascii="Times New Roman" w:hAnsi="Times New Roman" w:cs="Times New Roman"/>
          <w:i/>
          <w:iCs/>
          <w:sz w:val="24"/>
          <w:szCs w:val="24"/>
          <w:lang w:val="bg-BG"/>
        </w:rPr>
        <w:t>1</w:t>
      </w:r>
      <w:r w:rsidR="00A118E7" w:rsidRPr="00E81A6E">
        <w:rPr>
          <w:rFonts w:ascii="Times New Roman" w:hAnsi="Times New Roman" w:cs="Times New Roman"/>
          <w:i/>
          <w:iCs/>
          <w:sz w:val="24"/>
          <w:szCs w:val="24"/>
          <w:lang w:val="bg-BG"/>
        </w:rPr>
        <w:t>2</w:t>
      </w:r>
      <w:r w:rsidR="008318A2" w:rsidRPr="00E81A6E">
        <w:rPr>
          <w:rFonts w:ascii="Times New Roman" w:hAnsi="Times New Roman" w:cs="Times New Roman"/>
          <w:i/>
          <w:iCs/>
          <w:sz w:val="24"/>
          <w:szCs w:val="24"/>
          <w:lang w:val="bg-BG"/>
        </w:rPr>
        <w:t>7</w:t>
      </w:r>
      <w:r w:rsidR="00B26384" w:rsidRPr="00E81A6E">
        <w:rPr>
          <w:rFonts w:ascii="Times New Roman" w:hAnsi="Times New Roman" w:cs="Times New Roman"/>
          <w:i/>
          <w:iCs/>
          <w:sz w:val="24"/>
          <w:szCs w:val="24"/>
          <w:lang w:val="bg-BG"/>
        </w:rPr>
        <w:t xml:space="preserve"> </w:t>
      </w:r>
      <w:r w:rsidR="008E5645" w:rsidRPr="00E81A6E">
        <w:rPr>
          <w:rFonts w:ascii="Times New Roman" w:hAnsi="Times New Roman" w:cs="Times New Roman"/>
          <w:i/>
          <w:iCs/>
          <w:sz w:val="24"/>
          <w:szCs w:val="24"/>
        </w:rPr>
        <w:t>лв.</w:t>
      </w:r>
    </w:p>
    <w:p w14:paraId="48D7EDCF" w14:textId="77777777" w:rsidR="006F5B92" w:rsidRPr="00E81A6E" w:rsidRDefault="006F5B92" w:rsidP="00350B12">
      <w:pPr>
        <w:pStyle w:val="ListParagraph"/>
        <w:numPr>
          <w:ilvl w:val="0"/>
          <w:numId w:val="10"/>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средства по европейски програми</w:t>
      </w:r>
      <w:r w:rsidRPr="00E81A6E">
        <w:rPr>
          <w:rFonts w:ascii="Times New Roman" w:hAnsi="Times New Roman" w:cs="Times New Roman"/>
          <w:i/>
          <w:iCs/>
          <w:sz w:val="24"/>
          <w:szCs w:val="24"/>
          <w:lang w:val="bg-BG"/>
        </w:rPr>
        <w:t xml:space="preserve"> </w:t>
      </w:r>
      <w:r w:rsidR="00725E3F" w:rsidRPr="00E81A6E">
        <w:rPr>
          <w:rFonts w:ascii="Times New Roman" w:hAnsi="Times New Roman" w:cs="Times New Roman"/>
          <w:i/>
          <w:iCs/>
          <w:sz w:val="24"/>
          <w:szCs w:val="24"/>
          <w:lang w:val="bg-BG"/>
        </w:rPr>
        <w:t>2</w:t>
      </w:r>
      <w:r w:rsidR="00A118E7" w:rsidRPr="00E81A6E">
        <w:rPr>
          <w:rFonts w:ascii="Times New Roman" w:hAnsi="Times New Roman" w:cs="Times New Roman"/>
          <w:i/>
          <w:iCs/>
          <w:sz w:val="24"/>
          <w:szCs w:val="24"/>
          <w:lang w:val="bg-BG"/>
        </w:rPr>
        <w:t>96</w:t>
      </w:r>
      <w:r w:rsidRPr="00E81A6E">
        <w:rPr>
          <w:rFonts w:ascii="Times New Roman" w:hAnsi="Times New Roman" w:cs="Times New Roman"/>
          <w:i/>
          <w:iCs/>
          <w:sz w:val="24"/>
          <w:szCs w:val="24"/>
          <w:lang w:val="ru-RU"/>
        </w:rPr>
        <w:t>,</w:t>
      </w:r>
      <w:r w:rsidR="00A118E7" w:rsidRPr="00E81A6E">
        <w:rPr>
          <w:rFonts w:ascii="Times New Roman" w:hAnsi="Times New Roman" w:cs="Times New Roman"/>
          <w:i/>
          <w:iCs/>
          <w:sz w:val="24"/>
          <w:szCs w:val="24"/>
          <w:lang w:val="ru-RU"/>
        </w:rPr>
        <w:t>230</w:t>
      </w:r>
      <w:r w:rsidRPr="00E81A6E">
        <w:rPr>
          <w:rFonts w:ascii="Times New Roman" w:hAnsi="Times New Roman" w:cs="Times New Roman"/>
          <w:i/>
          <w:iCs/>
          <w:sz w:val="24"/>
          <w:szCs w:val="24"/>
          <w:lang w:val="ru-RU"/>
        </w:rPr>
        <w:t>,</w:t>
      </w:r>
      <w:r w:rsidR="00A118E7" w:rsidRPr="00E81A6E">
        <w:rPr>
          <w:rFonts w:ascii="Times New Roman" w:hAnsi="Times New Roman" w:cs="Times New Roman"/>
          <w:i/>
          <w:iCs/>
          <w:sz w:val="24"/>
          <w:szCs w:val="24"/>
          <w:lang w:val="ru-RU"/>
        </w:rPr>
        <w:t>374</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1ECB0A66"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sz w:val="24"/>
          <w:szCs w:val="24"/>
          <w:lang w:val="ru-RU"/>
        </w:rPr>
        <w:t xml:space="preserve">Подробна информация </w:t>
      </w:r>
      <w:r w:rsidRPr="00E81A6E">
        <w:rPr>
          <w:rFonts w:ascii="Times New Roman" w:hAnsi="Times New Roman" w:cs="Times New Roman"/>
          <w:sz w:val="24"/>
          <w:szCs w:val="24"/>
          <w:lang w:val="bg-BG"/>
        </w:rPr>
        <w:t xml:space="preserve">за разходите </w:t>
      </w:r>
      <w:r w:rsidRPr="00E81A6E">
        <w:rPr>
          <w:rFonts w:ascii="Times New Roman" w:hAnsi="Times New Roman" w:cs="Times New Roman"/>
          <w:sz w:val="24"/>
          <w:szCs w:val="24"/>
          <w:lang w:val="ru-RU"/>
        </w:rPr>
        <w:t xml:space="preserve">е предоставена в </w:t>
      </w:r>
      <w:r w:rsidRPr="00E81A6E">
        <w:rPr>
          <w:rFonts w:ascii="Times New Roman" w:hAnsi="Times New Roman" w:cs="Times New Roman"/>
          <w:b/>
          <w:bCs/>
          <w:sz w:val="24"/>
          <w:szCs w:val="24"/>
          <w:u w:val="single"/>
          <w:lang w:val="ru-RU"/>
        </w:rPr>
        <w:t>Приложение № 2</w:t>
      </w:r>
      <w:r w:rsidRPr="00E81A6E">
        <w:rPr>
          <w:rFonts w:ascii="Times New Roman" w:hAnsi="Times New Roman" w:cs="Times New Roman"/>
          <w:b/>
          <w:bCs/>
          <w:sz w:val="24"/>
          <w:szCs w:val="24"/>
          <w:lang w:val="ru-RU"/>
        </w:rPr>
        <w:t>.</w:t>
      </w:r>
    </w:p>
    <w:p w14:paraId="6E5AA99E" w14:textId="77777777" w:rsidR="00E77D61"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Към разходната част на бюджета е добавен преходният остатък от 20</w:t>
      </w:r>
      <w:r w:rsidR="00AE5FA9" w:rsidRPr="00E81A6E">
        <w:rPr>
          <w:rFonts w:ascii="Times New Roman" w:hAnsi="Times New Roman" w:cs="Times New Roman"/>
          <w:sz w:val="24"/>
          <w:szCs w:val="24"/>
          <w:lang w:val="bg-BG"/>
        </w:rPr>
        <w:t>20</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bg-BG"/>
        </w:rPr>
        <w:t xml:space="preserve"> </w:t>
      </w:r>
    </w:p>
    <w:p w14:paraId="272A05F1"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По видове дейности разпределението на разходите е:</w:t>
      </w:r>
    </w:p>
    <w:p w14:paraId="1232A5A0" w14:textId="77777777" w:rsidR="006F5B92" w:rsidRPr="00E81A6E" w:rsidRDefault="006F5B92" w:rsidP="00350B12">
      <w:pPr>
        <w:pStyle w:val="ListParagraph"/>
        <w:numPr>
          <w:ilvl w:val="0"/>
          <w:numId w:val="1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делегирани </w:t>
      </w:r>
      <w:r w:rsidR="0067270B" w:rsidRPr="00E81A6E">
        <w:rPr>
          <w:rFonts w:ascii="Times New Roman" w:hAnsi="Times New Roman" w:cs="Times New Roman"/>
          <w:i/>
          <w:iCs/>
          <w:sz w:val="24"/>
          <w:szCs w:val="24"/>
          <w:lang w:val="ru-RU"/>
        </w:rPr>
        <w:t>държавни дейности са разчетени</w:t>
      </w:r>
      <w:r w:rsidR="00B26384" w:rsidRPr="00E81A6E">
        <w:rPr>
          <w:rFonts w:ascii="Times New Roman" w:hAnsi="Times New Roman" w:cs="Times New Roman"/>
          <w:i/>
          <w:iCs/>
          <w:sz w:val="24"/>
          <w:szCs w:val="24"/>
          <w:lang w:val="ru-RU"/>
        </w:rPr>
        <w:t xml:space="preserve"> </w:t>
      </w:r>
      <w:r w:rsidR="0060419A" w:rsidRPr="00E81A6E">
        <w:rPr>
          <w:rFonts w:ascii="Times New Roman" w:hAnsi="Times New Roman" w:cs="Times New Roman"/>
          <w:i/>
          <w:iCs/>
          <w:sz w:val="24"/>
          <w:szCs w:val="24"/>
          <w:lang w:val="ru-RU"/>
        </w:rPr>
        <w:t>6</w:t>
      </w:r>
      <w:r w:rsidR="007804F4" w:rsidRPr="00E81A6E">
        <w:rPr>
          <w:rFonts w:ascii="Times New Roman" w:hAnsi="Times New Roman" w:cs="Times New Roman"/>
          <w:i/>
          <w:iCs/>
          <w:sz w:val="24"/>
          <w:szCs w:val="24"/>
          <w:lang w:val="ru-RU"/>
        </w:rPr>
        <w:t>93</w:t>
      </w:r>
      <w:r w:rsidR="005A0372" w:rsidRPr="00E81A6E">
        <w:rPr>
          <w:rFonts w:ascii="Times New Roman" w:hAnsi="Times New Roman" w:cs="Times New Roman"/>
          <w:i/>
          <w:iCs/>
          <w:sz w:val="24"/>
          <w:szCs w:val="24"/>
          <w:lang w:val="ru-RU"/>
        </w:rPr>
        <w:t>,</w:t>
      </w:r>
      <w:r w:rsidR="007804F4" w:rsidRPr="00E81A6E">
        <w:rPr>
          <w:rFonts w:ascii="Times New Roman" w:hAnsi="Times New Roman" w:cs="Times New Roman"/>
          <w:i/>
          <w:iCs/>
          <w:sz w:val="24"/>
          <w:szCs w:val="24"/>
          <w:lang w:val="ru-RU"/>
        </w:rPr>
        <w:t>134</w:t>
      </w:r>
      <w:r w:rsidR="005A0372" w:rsidRPr="00E81A6E">
        <w:rPr>
          <w:rFonts w:ascii="Times New Roman" w:hAnsi="Times New Roman" w:cs="Times New Roman"/>
          <w:i/>
          <w:iCs/>
          <w:sz w:val="24"/>
          <w:szCs w:val="24"/>
          <w:lang w:val="ru-RU"/>
        </w:rPr>
        <w:t>,</w:t>
      </w:r>
      <w:r w:rsidR="007804F4" w:rsidRPr="00E81A6E">
        <w:rPr>
          <w:rFonts w:ascii="Times New Roman" w:hAnsi="Times New Roman" w:cs="Times New Roman"/>
          <w:i/>
          <w:iCs/>
          <w:sz w:val="24"/>
          <w:szCs w:val="24"/>
          <w:lang w:val="ru-RU"/>
        </w:rPr>
        <w:t>905</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3C08B202" w14:textId="77777777" w:rsidR="006F5B92" w:rsidRPr="00E81A6E" w:rsidRDefault="006F5B92" w:rsidP="00350B12">
      <w:pPr>
        <w:pStyle w:val="ListParagraph"/>
        <w:numPr>
          <w:ilvl w:val="0"/>
          <w:numId w:val="1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общинските дейности се предвиждат</w:t>
      </w:r>
      <w:r w:rsidR="00B26384" w:rsidRPr="00E81A6E">
        <w:rPr>
          <w:rFonts w:ascii="Times New Roman" w:hAnsi="Times New Roman" w:cs="Times New Roman"/>
          <w:i/>
          <w:iCs/>
          <w:sz w:val="24"/>
          <w:szCs w:val="24"/>
          <w:lang w:val="ru-RU"/>
        </w:rPr>
        <w:t xml:space="preserve"> </w:t>
      </w:r>
      <w:r w:rsidRPr="00E81A6E">
        <w:rPr>
          <w:rFonts w:ascii="Times New Roman" w:hAnsi="Times New Roman" w:cs="Times New Roman"/>
          <w:i/>
          <w:iCs/>
          <w:sz w:val="24"/>
          <w:szCs w:val="24"/>
          <w:lang w:val="ru-RU"/>
        </w:rPr>
        <w:t>общо</w:t>
      </w:r>
      <w:r w:rsidR="00B26384" w:rsidRPr="00E81A6E">
        <w:rPr>
          <w:rFonts w:ascii="Times New Roman" w:hAnsi="Times New Roman" w:cs="Times New Roman"/>
          <w:i/>
          <w:iCs/>
          <w:sz w:val="24"/>
          <w:szCs w:val="24"/>
          <w:lang w:val="ru-RU"/>
        </w:rPr>
        <w:t xml:space="preserve"> </w:t>
      </w:r>
      <w:r w:rsidR="005A0372" w:rsidRPr="00E81A6E">
        <w:rPr>
          <w:rFonts w:ascii="Times New Roman" w:hAnsi="Times New Roman" w:cs="Times New Roman"/>
          <w:i/>
          <w:iCs/>
          <w:sz w:val="24"/>
          <w:szCs w:val="24"/>
          <w:lang w:val="ru-RU"/>
        </w:rPr>
        <w:t>1,</w:t>
      </w:r>
      <w:r w:rsidR="0060419A" w:rsidRPr="00E81A6E">
        <w:rPr>
          <w:rFonts w:ascii="Times New Roman" w:hAnsi="Times New Roman" w:cs="Times New Roman"/>
          <w:i/>
          <w:iCs/>
          <w:sz w:val="24"/>
          <w:szCs w:val="24"/>
          <w:lang w:val="ru-RU"/>
        </w:rPr>
        <w:t>1</w:t>
      </w:r>
      <w:r w:rsidR="007804F4" w:rsidRPr="00E81A6E">
        <w:rPr>
          <w:rFonts w:ascii="Times New Roman" w:hAnsi="Times New Roman" w:cs="Times New Roman"/>
          <w:i/>
          <w:iCs/>
          <w:sz w:val="24"/>
          <w:szCs w:val="24"/>
          <w:lang w:val="ru-RU"/>
        </w:rPr>
        <w:t>3</w:t>
      </w:r>
      <w:r w:rsidR="002115F4" w:rsidRPr="00E81A6E">
        <w:rPr>
          <w:rFonts w:ascii="Times New Roman" w:hAnsi="Times New Roman" w:cs="Times New Roman"/>
          <w:i/>
          <w:iCs/>
          <w:sz w:val="24"/>
          <w:szCs w:val="24"/>
          <w:lang w:val="ru-RU"/>
        </w:rPr>
        <w:t>5</w:t>
      </w:r>
      <w:r w:rsidR="005A0372" w:rsidRPr="00E81A6E">
        <w:rPr>
          <w:rFonts w:ascii="Times New Roman" w:hAnsi="Times New Roman" w:cs="Times New Roman"/>
          <w:i/>
          <w:iCs/>
          <w:sz w:val="24"/>
          <w:szCs w:val="24"/>
          <w:lang w:val="ru-RU"/>
        </w:rPr>
        <w:t>,</w:t>
      </w:r>
      <w:r w:rsidR="002115F4" w:rsidRPr="00E81A6E">
        <w:rPr>
          <w:rFonts w:ascii="Times New Roman" w:hAnsi="Times New Roman" w:cs="Times New Roman"/>
          <w:i/>
          <w:iCs/>
          <w:sz w:val="24"/>
          <w:szCs w:val="24"/>
          <w:lang w:val="ru-RU"/>
        </w:rPr>
        <w:t>4</w:t>
      </w:r>
      <w:r w:rsidR="00E91F9F" w:rsidRPr="00E81A6E">
        <w:rPr>
          <w:rFonts w:ascii="Times New Roman" w:hAnsi="Times New Roman" w:cs="Times New Roman"/>
          <w:i/>
          <w:iCs/>
          <w:sz w:val="24"/>
          <w:szCs w:val="24"/>
          <w:lang w:val="ru-RU"/>
        </w:rPr>
        <w:t>48</w:t>
      </w:r>
      <w:r w:rsidR="005A0372" w:rsidRPr="00E81A6E">
        <w:rPr>
          <w:rFonts w:ascii="Times New Roman" w:hAnsi="Times New Roman" w:cs="Times New Roman"/>
          <w:i/>
          <w:iCs/>
          <w:sz w:val="24"/>
          <w:szCs w:val="24"/>
          <w:lang w:val="ru-RU"/>
        </w:rPr>
        <w:t>,</w:t>
      </w:r>
      <w:r w:rsidR="00E91F9F" w:rsidRPr="00E81A6E">
        <w:rPr>
          <w:rFonts w:ascii="Times New Roman" w:hAnsi="Times New Roman" w:cs="Times New Roman"/>
          <w:i/>
          <w:iCs/>
          <w:sz w:val="24"/>
          <w:szCs w:val="24"/>
          <w:lang w:val="ru-RU"/>
        </w:rPr>
        <w:t>63</w:t>
      </w:r>
      <w:r w:rsidR="008318A2" w:rsidRPr="00E81A6E">
        <w:rPr>
          <w:rFonts w:ascii="Times New Roman" w:hAnsi="Times New Roman" w:cs="Times New Roman"/>
          <w:i/>
          <w:iCs/>
          <w:sz w:val="24"/>
          <w:szCs w:val="24"/>
          <w:lang w:val="ru-RU"/>
        </w:rPr>
        <w:t>2</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34A1CA1F" w14:textId="77777777" w:rsidR="006F5B92" w:rsidRPr="00E81A6E" w:rsidRDefault="006F5B92" w:rsidP="00350B12">
      <w:pPr>
        <w:pStyle w:val="ListParagraph"/>
        <w:numPr>
          <w:ilvl w:val="0"/>
          <w:numId w:val="1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дофинансиране на държавни дейности с общински приходи са разчетени</w:t>
      </w:r>
      <w:r w:rsidR="00B26384" w:rsidRPr="00E81A6E">
        <w:rPr>
          <w:rFonts w:ascii="Times New Roman" w:hAnsi="Times New Roman" w:cs="Times New Roman"/>
          <w:i/>
          <w:iCs/>
          <w:sz w:val="24"/>
          <w:szCs w:val="24"/>
          <w:lang w:val="ru-RU"/>
        </w:rPr>
        <w:t xml:space="preserve"> </w:t>
      </w:r>
      <w:r w:rsidR="0060419A" w:rsidRPr="00E81A6E">
        <w:rPr>
          <w:rFonts w:ascii="Times New Roman" w:hAnsi="Times New Roman" w:cs="Times New Roman"/>
          <w:i/>
          <w:iCs/>
          <w:sz w:val="24"/>
          <w:szCs w:val="24"/>
          <w:lang w:val="ru-RU"/>
        </w:rPr>
        <w:t>56</w:t>
      </w:r>
      <w:r w:rsidR="005A0372" w:rsidRPr="00E81A6E">
        <w:rPr>
          <w:rFonts w:ascii="Times New Roman" w:hAnsi="Times New Roman" w:cs="Times New Roman"/>
          <w:i/>
          <w:iCs/>
          <w:sz w:val="24"/>
          <w:szCs w:val="24"/>
          <w:lang w:val="ru-RU"/>
        </w:rPr>
        <w:t>,</w:t>
      </w:r>
      <w:r w:rsidR="0060419A" w:rsidRPr="00E81A6E">
        <w:rPr>
          <w:rFonts w:ascii="Times New Roman" w:hAnsi="Times New Roman" w:cs="Times New Roman"/>
          <w:i/>
          <w:iCs/>
          <w:sz w:val="24"/>
          <w:szCs w:val="24"/>
          <w:lang w:val="ru-RU"/>
        </w:rPr>
        <w:t>8</w:t>
      </w:r>
      <w:r w:rsidR="00E91F9F" w:rsidRPr="00E81A6E">
        <w:rPr>
          <w:rFonts w:ascii="Times New Roman" w:hAnsi="Times New Roman" w:cs="Times New Roman"/>
          <w:i/>
          <w:iCs/>
          <w:sz w:val="24"/>
          <w:szCs w:val="24"/>
          <w:lang w:val="ru-RU"/>
        </w:rPr>
        <w:t>20</w:t>
      </w:r>
      <w:r w:rsidR="005A0372" w:rsidRPr="00E81A6E">
        <w:rPr>
          <w:rFonts w:ascii="Times New Roman" w:hAnsi="Times New Roman" w:cs="Times New Roman"/>
          <w:i/>
          <w:iCs/>
          <w:sz w:val="24"/>
          <w:szCs w:val="24"/>
          <w:lang w:val="ru-RU"/>
        </w:rPr>
        <w:t>,</w:t>
      </w:r>
      <w:r w:rsidR="0060419A" w:rsidRPr="00E81A6E">
        <w:rPr>
          <w:rFonts w:ascii="Times New Roman" w:hAnsi="Times New Roman" w:cs="Times New Roman"/>
          <w:i/>
          <w:iCs/>
          <w:sz w:val="24"/>
          <w:szCs w:val="24"/>
          <w:lang w:val="ru-RU"/>
        </w:rPr>
        <w:t>964</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3DD3E778"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eastAsia="bg-BG"/>
        </w:rPr>
      </w:pPr>
    </w:p>
    <w:p w14:paraId="0563C921" w14:textId="77777777" w:rsidR="00AE5FA9" w:rsidRPr="00E81A6E" w:rsidRDefault="00AE5FA9"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Министърът на финансите изготвя разходната част на делегираните от държавата дейности, финансирани чрез бюджетите на общините, по общини</w:t>
      </w:r>
      <w:r w:rsidR="008318A2" w:rsidRPr="00E81A6E">
        <w:rPr>
          <w:rFonts w:ascii="Times New Roman" w:hAnsi="Times New Roman" w:cs="Times New Roman"/>
          <w:sz w:val="24"/>
          <w:szCs w:val="24"/>
          <w:lang w:val="bg-BG" w:eastAsia="bg-BG"/>
        </w:rPr>
        <w:t>,</w:t>
      </w:r>
      <w:r w:rsidRPr="00E81A6E">
        <w:rPr>
          <w:rFonts w:ascii="Times New Roman" w:hAnsi="Times New Roman" w:cs="Times New Roman"/>
          <w:sz w:val="24"/>
          <w:szCs w:val="24"/>
          <w:lang w:val="bg-BG" w:eastAsia="bg-BG"/>
        </w:rPr>
        <w:t xml:space="preserve"> в съответствие с приетите стандарти за финансиране на делегираните от държавата дейности с натурални и стойностни показатели.</w:t>
      </w:r>
    </w:p>
    <w:p w14:paraId="6027A4FE"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ru-RU"/>
        </w:rPr>
        <w:t>В рамките на общия бюджет са предвидени:</w:t>
      </w:r>
    </w:p>
    <w:p w14:paraId="6BF19257" w14:textId="77777777" w:rsidR="006F5B92" w:rsidRPr="00E81A6E" w:rsidRDefault="006F5B92" w:rsidP="00350B12">
      <w:pPr>
        <w:pStyle w:val="ListParagraph"/>
        <w:numPr>
          <w:ilvl w:val="0"/>
          <w:numId w:val="1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b/>
          <w:bCs/>
          <w:i/>
          <w:iCs/>
          <w:sz w:val="24"/>
          <w:szCs w:val="24"/>
          <w:lang w:val="ru-RU"/>
        </w:rPr>
        <w:t>текущи разходи</w:t>
      </w:r>
      <w:r w:rsidR="00B26384" w:rsidRPr="00E81A6E">
        <w:rPr>
          <w:rFonts w:ascii="Times New Roman" w:hAnsi="Times New Roman" w:cs="Times New Roman"/>
          <w:i/>
          <w:iCs/>
          <w:sz w:val="24"/>
          <w:szCs w:val="24"/>
          <w:lang w:val="ru-RU"/>
        </w:rPr>
        <w:t xml:space="preserve"> </w:t>
      </w:r>
      <w:r w:rsidRPr="00E81A6E">
        <w:rPr>
          <w:rFonts w:ascii="Times New Roman" w:hAnsi="Times New Roman" w:cs="Times New Roman"/>
          <w:b/>
          <w:bCs/>
          <w:i/>
          <w:iCs/>
          <w:sz w:val="24"/>
          <w:szCs w:val="24"/>
          <w:lang w:val="ru-RU"/>
        </w:rPr>
        <w:t>1,</w:t>
      </w:r>
      <w:r w:rsidR="0060419A" w:rsidRPr="00E81A6E">
        <w:rPr>
          <w:rFonts w:ascii="Times New Roman" w:hAnsi="Times New Roman" w:cs="Times New Roman"/>
          <w:b/>
          <w:bCs/>
          <w:i/>
          <w:iCs/>
          <w:sz w:val="24"/>
          <w:szCs w:val="24"/>
          <w:lang w:val="ru-RU"/>
        </w:rPr>
        <w:t>375</w:t>
      </w:r>
      <w:r w:rsidRPr="00E81A6E">
        <w:rPr>
          <w:rFonts w:ascii="Times New Roman" w:hAnsi="Times New Roman" w:cs="Times New Roman"/>
          <w:b/>
          <w:bCs/>
          <w:i/>
          <w:iCs/>
          <w:sz w:val="24"/>
          <w:szCs w:val="24"/>
          <w:lang w:val="ru-RU"/>
        </w:rPr>
        <w:t>,</w:t>
      </w:r>
      <w:r w:rsidR="0060419A" w:rsidRPr="00E81A6E">
        <w:rPr>
          <w:rFonts w:ascii="Times New Roman" w:hAnsi="Times New Roman" w:cs="Times New Roman"/>
          <w:b/>
          <w:bCs/>
          <w:i/>
          <w:iCs/>
          <w:sz w:val="24"/>
          <w:szCs w:val="24"/>
          <w:lang w:val="ru-RU"/>
        </w:rPr>
        <w:t>8</w:t>
      </w:r>
      <w:r w:rsidR="00E91F9F" w:rsidRPr="00E81A6E">
        <w:rPr>
          <w:rFonts w:ascii="Times New Roman" w:hAnsi="Times New Roman" w:cs="Times New Roman"/>
          <w:b/>
          <w:bCs/>
          <w:i/>
          <w:iCs/>
          <w:sz w:val="24"/>
          <w:szCs w:val="24"/>
          <w:lang w:val="ru-RU"/>
        </w:rPr>
        <w:t>70</w:t>
      </w:r>
      <w:r w:rsidRPr="00E81A6E">
        <w:rPr>
          <w:rFonts w:ascii="Times New Roman" w:hAnsi="Times New Roman" w:cs="Times New Roman"/>
          <w:b/>
          <w:bCs/>
          <w:i/>
          <w:iCs/>
          <w:sz w:val="24"/>
          <w:szCs w:val="24"/>
          <w:lang w:val="ru-RU"/>
        </w:rPr>
        <w:t>,</w:t>
      </w:r>
      <w:r w:rsidR="00E91F9F" w:rsidRPr="00E81A6E">
        <w:rPr>
          <w:rFonts w:ascii="Times New Roman" w:hAnsi="Times New Roman" w:cs="Times New Roman"/>
          <w:b/>
          <w:bCs/>
          <w:i/>
          <w:iCs/>
          <w:sz w:val="24"/>
          <w:szCs w:val="24"/>
          <w:lang w:val="ru-RU"/>
        </w:rPr>
        <w:t>3</w:t>
      </w:r>
      <w:r w:rsidR="0060419A" w:rsidRPr="00E81A6E">
        <w:rPr>
          <w:rFonts w:ascii="Times New Roman" w:hAnsi="Times New Roman" w:cs="Times New Roman"/>
          <w:b/>
          <w:bCs/>
          <w:i/>
          <w:iCs/>
          <w:sz w:val="24"/>
          <w:szCs w:val="24"/>
          <w:lang w:val="ru-RU"/>
        </w:rPr>
        <w:t>0</w:t>
      </w:r>
      <w:r w:rsidR="008318A2" w:rsidRPr="00E81A6E">
        <w:rPr>
          <w:rFonts w:ascii="Times New Roman" w:hAnsi="Times New Roman" w:cs="Times New Roman"/>
          <w:b/>
          <w:bCs/>
          <w:i/>
          <w:iCs/>
          <w:sz w:val="24"/>
          <w:szCs w:val="24"/>
          <w:lang w:val="ru-RU"/>
        </w:rPr>
        <w:t>1</w:t>
      </w:r>
      <w:r w:rsidR="00B26384" w:rsidRPr="00E81A6E">
        <w:rPr>
          <w:rFonts w:ascii="Times New Roman" w:hAnsi="Times New Roman" w:cs="Times New Roman"/>
          <w:b/>
          <w:bCs/>
          <w:i/>
          <w:iCs/>
          <w:sz w:val="24"/>
          <w:szCs w:val="24"/>
          <w:lang w:val="ru-RU"/>
        </w:rPr>
        <w:t xml:space="preserve"> </w:t>
      </w:r>
      <w:r w:rsidR="008E5645" w:rsidRPr="00E81A6E">
        <w:rPr>
          <w:rFonts w:ascii="Times New Roman" w:hAnsi="Times New Roman" w:cs="Times New Roman"/>
          <w:b/>
          <w:bCs/>
          <w:i/>
          <w:iCs/>
          <w:sz w:val="24"/>
          <w:szCs w:val="24"/>
          <w:lang w:val="ru-RU"/>
        </w:rPr>
        <w:t>лв.</w:t>
      </w:r>
      <w:r w:rsidRPr="00E81A6E">
        <w:rPr>
          <w:rFonts w:ascii="Times New Roman" w:hAnsi="Times New Roman" w:cs="Times New Roman"/>
          <w:i/>
          <w:iCs/>
          <w:sz w:val="24"/>
          <w:szCs w:val="24"/>
          <w:lang w:val="ru-RU"/>
        </w:rPr>
        <w:t>, изцяло финансирани с бюджетни средства.</w:t>
      </w:r>
    </w:p>
    <w:p w14:paraId="2D880D4A" w14:textId="77777777" w:rsidR="006F5B92" w:rsidRPr="00E81A6E" w:rsidRDefault="006F5B92" w:rsidP="00350B12">
      <w:pPr>
        <w:pStyle w:val="ListParagraph"/>
        <w:numPr>
          <w:ilvl w:val="0"/>
          <w:numId w:val="1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b/>
          <w:bCs/>
          <w:i/>
          <w:iCs/>
          <w:sz w:val="24"/>
          <w:szCs w:val="24"/>
          <w:lang w:val="ru-RU"/>
        </w:rPr>
        <w:t xml:space="preserve">капиталови разходи </w:t>
      </w:r>
      <w:r w:rsidR="0060419A" w:rsidRPr="00E81A6E">
        <w:rPr>
          <w:rFonts w:ascii="Times New Roman" w:hAnsi="Times New Roman" w:cs="Times New Roman"/>
          <w:b/>
          <w:bCs/>
          <w:i/>
          <w:iCs/>
          <w:sz w:val="24"/>
          <w:szCs w:val="24"/>
          <w:lang w:val="ru-RU"/>
        </w:rPr>
        <w:t>5</w:t>
      </w:r>
      <w:r w:rsidR="00512712" w:rsidRPr="00E81A6E">
        <w:rPr>
          <w:rFonts w:ascii="Times New Roman" w:hAnsi="Times New Roman" w:cs="Times New Roman"/>
          <w:b/>
          <w:bCs/>
          <w:i/>
          <w:iCs/>
          <w:sz w:val="24"/>
          <w:szCs w:val="24"/>
          <w:lang w:val="ru-RU"/>
        </w:rPr>
        <w:t>09</w:t>
      </w:r>
      <w:r w:rsidRPr="00E81A6E">
        <w:rPr>
          <w:rFonts w:ascii="Times New Roman" w:hAnsi="Times New Roman" w:cs="Times New Roman"/>
          <w:b/>
          <w:bCs/>
          <w:i/>
          <w:iCs/>
          <w:sz w:val="24"/>
          <w:szCs w:val="24"/>
          <w:lang w:val="ru-RU"/>
        </w:rPr>
        <w:t>,</w:t>
      </w:r>
      <w:r w:rsidR="002115F4" w:rsidRPr="00E81A6E">
        <w:rPr>
          <w:rFonts w:ascii="Times New Roman" w:hAnsi="Times New Roman" w:cs="Times New Roman"/>
          <w:b/>
          <w:bCs/>
          <w:i/>
          <w:iCs/>
          <w:sz w:val="24"/>
          <w:szCs w:val="24"/>
          <w:lang w:val="ru-RU"/>
        </w:rPr>
        <w:t>5</w:t>
      </w:r>
      <w:r w:rsidR="00512712" w:rsidRPr="00E81A6E">
        <w:rPr>
          <w:rFonts w:ascii="Times New Roman" w:hAnsi="Times New Roman" w:cs="Times New Roman"/>
          <w:b/>
          <w:bCs/>
          <w:i/>
          <w:iCs/>
          <w:sz w:val="24"/>
          <w:szCs w:val="24"/>
          <w:lang w:val="ru-RU"/>
        </w:rPr>
        <w:t>34</w:t>
      </w:r>
      <w:r w:rsidRPr="00E81A6E">
        <w:rPr>
          <w:rFonts w:ascii="Times New Roman" w:hAnsi="Times New Roman" w:cs="Times New Roman"/>
          <w:b/>
          <w:bCs/>
          <w:i/>
          <w:iCs/>
          <w:sz w:val="24"/>
          <w:szCs w:val="24"/>
          <w:lang w:val="ru-RU"/>
        </w:rPr>
        <w:t>,</w:t>
      </w:r>
      <w:r w:rsidR="00512712" w:rsidRPr="00E81A6E">
        <w:rPr>
          <w:rFonts w:ascii="Times New Roman" w:hAnsi="Times New Roman" w:cs="Times New Roman"/>
          <w:b/>
          <w:bCs/>
          <w:i/>
          <w:iCs/>
          <w:sz w:val="24"/>
          <w:szCs w:val="24"/>
          <w:lang w:val="ru-RU"/>
        </w:rPr>
        <w:t>200</w:t>
      </w:r>
      <w:r w:rsidR="00B26384" w:rsidRPr="00E81A6E">
        <w:rPr>
          <w:rFonts w:ascii="Times New Roman" w:hAnsi="Times New Roman" w:cs="Times New Roman"/>
          <w:b/>
          <w:bCs/>
          <w:i/>
          <w:iCs/>
          <w:sz w:val="24"/>
          <w:szCs w:val="24"/>
          <w:lang w:val="ru-RU"/>
        </w:rPr>
        <w:t xml:space="preserve"> </w:t>
      </w:r>
      <w:r w:rsidR="008E5645" w:rsidRPr="00E81A6E">
        <w:rPr>
          <w:rFonts w:ascii="Times New Roman" w:hAnsi="Times New Roman" w:cs="Times New Roman"/>
          <w:b/>
          <w:bCs/>
          <w:i/>
          <w:iCs/>
          <w:sz w:val="24"/>
          <w:szCs w:val="24"/>
          <w:lang w:val="ru-RU"/>
        </w:rPr>
        <w:t>лв.</w:t>
      </w:r>
      <w:r w:rsidRPr="00E81A6E">
        <w:rPr>
          <w:rFonts w:ascii="Times New Roman" w:hAnsi="Times New Roman" w:cs="Times New Roman"/>
          <w:b/>
          <w:bCs/>
          <w:i/>
          <w:iCs/>
          <w:sz w:val="24"/>
          <w:szCs w:val="24"/>
          <w:lang w:val="ru-RU"/>
        </w:rPr>
        <w:t>,</w:t>
      </w:r>
      <w:r w:rsidRPr="00E81A6E">
        <w:rPr>
          <w:rFonts w:ascii="Times New Roman" w:hAnsi="Times New Roman" w:cs="Times New Roman"/>
          <w:i/>
          <w:iCs/>
          <w:sz w:val="24"/>
          <w:szCs w:val="24"/>
          <w:lang w:val="ru-RU"/>
        </w:rPr>
        <w:t xml:space="preserve"> в това число:</w:t>
      </w:r>
    </w:p>
    <w:p w14:paraId="5772A91F" w14:textId="77777777" w:rsidR="006F5B92" w:rsidRPr="00E81A6E" w:rsidRDefault="006F5B92" w:rsidP="00350B12">
      <w:pPr>
        <w:numPr>
          <w:ilvl w:val="0"/>
          <w:numId w:val="13"/>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бюджетни средства</w:t>
      </w:r>
      <w:r w:rsidR="00B26384" w:rsidRPr="00E81A6E">
        <w:rPr>
          <w:rFonts w:ascii="Times New Roman" w:hAnsi="Times New Roman" w:cs="Times New Roman"/>
          <w:i/>
          <w:iCs/>
          <w:sz w:val="24"/>
          <w:szCs w:val="24"/>
        </w:rPr>
        <w:t xml:space="preserve"> </w:t>
      </w:r>
      <w:r w:rsidR="00725E3F" w:rsidRPr="00E81A6E">
        <w:rPr>
          <w:rFonts w:ascii="Times New Roman" w:hAnsi="Times New Roman" w:cs="Times New Roman"/>
          <w:i/>
          <w:iCs/>
          <w:sz w:val="24"/>
          <w:szCs w:val="24"/>
          <w:lang w:val="bg-BG"/>
        </w:rPr>
        <w:t>2</w:t>
      </w:r>
      <w:r w:rsidR="00512712" w:rsidRPr="00E81A6E">
        <w:rPr>
          <w:rFonts w:ascii="Times New Roman" w:hAnsi="Times New Roman" w:cs="Times New Roman"/>
          <w:i/>
          <w:iCs/>
          <w:sz w:val="24"/>
          <w:szCs w:val="24"/>
          <w:lang w:val="bg-BG"/>
        </w:rPr>
        <w:t>1</w:t>
      </w:r>
      <w:r w:rsidR="002115F4" w:rsidRPr="00E81A6E">
        <w:rPr>
          <w:rFonts w:ascii="Times New Roman" w:hAnsi="Times New Roman" w:cs="Times New Roman"/>
          <w:i/>
          <w:iCs/>
          <w:sz w:val="24"/>
          <w:szCs w:val="24"/>
          <w:lang w:val="bg-BG"/>
        </w:rPr>
        <w:t>3</w:t>
      </w:r>
      <w:r w:rsidRPr="00E81A6E">
        <w:rPr>
          <w:rFonts w:ascii="Times New Roman" w:hAnsi="Times New Roman" w:cs="Times New Roman"/>
          <w:i/>
          <w:iCs/>
          <w:sz w:val="24"/>
          <w:szCs w:val="24"/>
          <w:lang w:val="bg-BG"/>
        </w:rPr>
        <w:t>,</w:t>
      </w:r>
      <w:r w:rsidR="002115F4" w:rsidRPr="00E81A6E">
        <w:rPr>
          <w:rFonts w:ascii="Times New Roman" w:hAnsi="Times New Roman" w:cs="Times New Roman"/>
          <w:i/>
          <w:iCs/>
          <w:sz w:val="24"/>
          <w:szCs w:val="24"/>
          <w:lang w:val="bg-BG"/>
        </w:rPr>
        <w:t>3</w:t>
      </w:r>
      <w:r w:rsidR="00512712" w:rsidRPr="00E81A6E">
        <w:rPr>
          <w:rFonts w:ascii="Times New Roman" w:hAnsi="Times New Roman" w:cs="Times New Roman"/>
          <w:i/>
          <w:iCs/>
          <w:sz w:val="24"/>
          <w:szCs w:val="24"/>
          <w:lang w:val="bg-BG"/>
        </w:rPr>
        <w:t>03</w:t>
      </w:r>
      <w:r w:rsidRPr="00E81A6E">
        <w:rPr>
          <w:rFonts w:ascii="Times New Roman" w:hAnsi="Times New Roman" w:cs="Times New Roman"/>
          <w:i/>
          <w:iCs/>
          <w:sz w:val="24"/>
          <w:szCs w:val="24"/>
          <w:lang w:val="bg-BG"/>
        </w:rPr>
        <w:t>,</w:t>
      </w:r>
      <w:r w:rsidR="00512712" w:rsidRPr="00E81A6E">
        <w:rPr>
          <w:rFonts w:ascii="Times New Roman" w:hAnsi="Times New Roman" w:cs="Times New Roman"/>
          <w:i/>
          <w:iCs/>
          <w:sz w:val="24"/>
          <w:szCs w:val="24"/>
          <w:lang w:val="bg-BG"/>
        </w:rPr>
        <w:t>826</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64CEF0E9" w14:textId="77777777" w:rsidR="006F5B92" w:rsidRPr="00E81A6E" w:rsidRDefault="006F5B92" w:rsidP="00350B12">
      <w:pPr>
        <w:numPr>
          <w:ilvl w:val="0"/>
          <w:numId w:val="13"/>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Средства по Европейски оперативни програми </w:t>
      </w:r>
      <w:r w:rsidR="00725E3F" w:rsidRPr="00E81A6E">
        <w:rPr>
          <w:rFonts w:ascii="Times New Roman" w:hAnsi="Times New Roman" w:cs="Times New Roman"/>
          <w:i/>
          <w:iCs/>
          <w:sz w:val="24"/>
          <w:szCs w:val="24"/>
          <w:lang w:val="ru-RU"/>
        </w:rPr>
        <w:t>2</w:t>
      </w:r>
      <w:r w:rsidR="00512712" w:rsidRPr="00E81A6E">
        <w:rPr>
          <w:rFonts w:ascii="Times New Roman" w:hAnsi="Times New Roman" w:cs="Times New Roman"/>
          <w:i/>
          <w:iCs/>
          <w:sz w:val="24"/>
          <w:szCs w:val="24"/>
          <w:lang w:val="ru-RU"/>
        </w:rPr>
        <w:t>96</w:t>
      </w:r>
      <w:r w:rsidRPr="00E81A6E">
        <w:rPr>
          <w:rFonts w:ascii="Times New Roman" w:hAnsi="Times New Roman" w:cs="Times New Roman"/>
          <w:i/>
          <w:iCs/>
          <w:sz w:val="24"/>
          <w:szCs w:val="24"/>
          <w:lang w:val="ru-RU"/>
        </w:rPr>
        <w:t>,</w:t>
      </w:r>
      <w:r w:rsidR="0060419A" w:rsidRPr="00E81A6E">
        <w:rPr>
          <w:rFonts w:ascii="Times New Roman" w:hAnsi="Times New Roman" w:cs="Times New Roman"/>
          <w:i/>
          <w:iCs/>
          <w:sz w:val="24"/>
          <w:szCs w:val="24"/>
          <w:lang w:val="ru-RU"/>
        </w:rPr>
        <w:t>2</w:t>
      </w:r>
      <w:r w:rsidR="00512712" w:rsidRPr="00E81A6E">
        <w:rPr>
          <w:rFonts w:ascii="Times New Roman" w:hAnsi="Times New Roman" w:cs="Times New Roman"/>
          <w:i/>
          <w:iCs/>
          <w:sz w:val="24"/>
          <w:szCs w:val="24"/>
          <w:lang w:val="ru-RU"/>
        </w:rPr>
        <w:t>30</w:t>
      </w:r>
      <w:r w:rsidRPr="00E81A6E">
        <w:rPr>
          <w:rFonts w:ascii="Times New Roman" w:hAnsi="Times New Roman" w:cs="Times New Roman"/>
          <w:i/>
          <w:iCs/>
          <w:sz w:val="24"/>
          <w:szCs w:val="24"/>
          <w:lang w:val="ru-RU"/>
        </w:rPr>
        <w:t>,</w:t>
      </w:r>
      <w:r w:rsidR="00512712" w:rsidRPr="00E81A6E">
        <w:rPr>
          <w:rFonts w:ascii="Times New Roman" w:hAnsi="Times New Roman" w:cs="Times New Roman"/>
          <w:i/>
          <w:iCs/>
          <w:sz w:val="24"/>
          <w:szCs w:val="24"/>
          <w:lang w:val="ru-RU"/>
        </w:rPr>
        <w:t>374</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71FD1500" w14:textId="77777777" w:rsidR="00DC304B"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b/>
          <w:bCs/>
          <w:sz w:val="24"/>
          <w:szCs w:val="24"/>
          <w:lang w:val="bg-BG"/>
        </w:rPr>
        <w:t>О</w:t>
      </w:r>
      <w:r w:rsidRPr="00E81A6E">
        <w:rPr>
          <w:rFonts w:ascii="Times New Roman" w:hAnsi="Times New Roman" w:cs="Times New Roman"/>
          <w:b/>
          <w:bCs/>
          <w:sz w:val="24"/>
          <w:szCs w:val="24"/>
          <w:lang w:val="ru-RU"/>
        </w:rPr>
        <w:t>пределянето на стандартите за издръжка на делегираните от държавата дейности</w:t>
      </w:r>
      <w:r w:rsidRPr="00E81A6E">
        <w:rPr>
          <w:rFonts w:ascii="Times New Roman" w:hAnsi="Times New Roman" w:cs="Times New Roman"/>
          <w:sz w:val="24"/>
          <w:szCs w:val="24"/>
          <w:lang w:val="ru-RU"/>
        </w:rPr>
        <w:t xml:space="preserve"> за 20</w:t>
      </w:r>
      <w:r w:rsidR="005E53FB" w:rsidRPr="00E81A6E">
        <w:rPr>
          <w:rFonts w:ascii="Times New Roman" w:hAnsi="Times New Roman" w:cs="Times New Roman"/>
          <w:sz w:val="24"/>
          <w:szCs w:val="24"/>
          <w:lang w:val="ru-RU"/>
        </w:rPr>
        <w:t>2</w:t>
      </w:r>
      <w:r w:rsidR="00AE5481"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се извърши с Р</w:t>
      </w:r>
      <w:r w:rsidR="008318A2" w:rsidRPr="00E81A6E">
        <w:rPr>
          <w:rFonts w:ascii="Times New Roman" w:hAnsi="Times New Roman" w:cs="Times New Roman"/>
          <w:sz w:val="24"/>
          <w:szCs w:val="24"/>
          <w:lang w:val="ru-RU"/>
        </w:rPr>
        <w:t>МС</w:t>
      </w:r>
      <w:r w:rsidRPr="00E81A6E">
        <w:rPr>
          <w:rFonts w:ascii="Times New Roman" w:hAnsi="Times New Roman" w:cs="Times New Roman"/>
          <w:sz w:val="24"/>
          <w:szCs w:val="24"/>
          <w:lang w:val="ru-RU"/>
        </w:rPr>
        <w:t xml:space="preserve"> </w:t>
      </w:r>
      <w:r w:rsidR="005E53FB" w:rsidRPr="00E81A6E">
        <w:rPr>
          <w:rFonts w:ascii="Times New Roman" w:hAnsi="Times New Roman" w:cs="Times New Roman"/>
          <w:sz w:val="24"/>
          <w:szCs w:val="24"/>
          <w:lang w:val="bg-BG" w:eastAsia="en-US"/>
        </w:rPr>
        <w:t xml:space="preserve">№ </w:t>
      </w:r>
      <w:r w:rsidR="00AE5481" w:rsidRPr="00E81A6E">
        <w:rPr>
          <w:rFonts w:ascii="Times New Roman" w:hAnsi="Times New Roman" w:cs="Times New Roman"/>
          <w:sz w:val="24"/>
          <w:szCs w:val="24"/>
          <w:lang w:val="bg-BG" w:eastAsia="en-US"/>
        </w:rPr>
        <w:t>790</w:t>
      </w:r>
      <w:r w:rsidR="005E53FB" w:rsidRPr="00E81A6E">
        <w:rPr>
          <w:rFonts w:ascii="Times New Roman" w:hAnsi="Times New Roman" w:cs="Times New Roman"/>
          <w:sz w:val="24"/>
          <w:szCs w:val="24"/>
          <w:lang w:val="bg-BG" w:eastAsia="en-US"/>
        </w:rPr>
        <w:t>/</w:t>
      </w:r>
      <w:r w:rsidR="00AE5481" w:rsidRPr="00E81A6E">
        <w:rPr>
          <w:rFonts w:ascii="Times New Roman" w:hAnsi="Times New Roman" w:cs="Times New Roman"/>
          <w:sz w:val="24"/>
          <w:szCs w:val="24"/>
          <w:lang w:val="bg-BG" w:eastAsia="en-US"/>
        </w:rPr>
        <w:t>30</w:t>
      </w:r>
      <w:r w:rsidR="005E53FB" w:rsidRPr="00E81A6E">
        <w:rPr>
          <w:rFonts w:ascii="Times New Roman" w:hAnsi="Times New Roman" w:cs="Times New Roman"/>
          <w:sz w:val="24"/>
          <w:szCs w:val="24"/>
          <w:lang w:val="bg-BG" w:eastAsia="en-US"/>
        </w:rPr>
        <w:t>.1</w:t>
      </w:r>
      <w:r w:rsidR="00AE5481" w:rsidRPr="00E81A6E">
        <w:rPr>
          <w:rFonts w:ascii="Times New Roman" w:hAnsi="Times New Roman" w:cs="Times New Roman"/>
          <w:sz w:val="24"/>
          <w:szCs w:val="24"/>
          <w:lang w:val="bg-BG" w:eastAsia="en-US"/>
        </w:rPr>
        <w:t>0</w:t>
      </w:r>
      <w:r w:rsidR="005E53FB" w:rsidRPr="00E81A6E">
        <w:rPr>
          <w:rFonts w:ascii="Times New Roman" w:hAnsi="Times New Roman" w:cs="Times New Roman"/>
          <w:sz w:val="24"/>
          <w:szCs w:val="24"/>
          <w:lang w:val="bg-BG" w:eastAsia="en-US"/>
        </w:rPr>
        <w:t>.20</w:t>
      </w:r>
      <w:r w:rsidR="00D96C59" w:rsidRPr="00E81A6E">
        <w:rPr>
          <w:rFonts w:ascii="Times New Roman" w:hAnsi="Times New Roman" w:cs="Times New Roman"/>
          <w:sz w:val="24"/>
          <w:szCs w:val="24"/>
          <w:lang w:val="bg-BG" w:eastAsia="en-US"/>
        </w:rPr>
        <w:t>2</w:t>
      </w:r>
      <w:r w:rsidR="00AE5481" w:rsidRPr="00E81A6E">
        <w:rPr>
          <w:rFonts w:ascii="Times New Roman" w:hAnsi="Times New Roman" w:cs="Times New Roman"/>
          <w:sz w:val="24"/>
          <w:szCs w:val="24"/>
          <w:lang w:val="bg-BG" w:eastAsia="en-US"/>
        </w:rPr>
        <w:t>0</w:t>
      </w:r>
      <w:r w:rsidR="00AC52E9" w:rsidRPr="00E81A6E">
        <w:rPr>
          <w:rFonts w:ascii="Times New Roman" w:hAnsi="Times New Roman" w:cs="Times New Roman"/>
          <w:sz w:val="24"/>
          <w:szCs w:val="24"/>
          <w:lang w:val="bg-BG" w:eastAsia="en-US"/>
        </w:rPr>
        <w:t>г.</w:t>
      </w:r>
      <w:r w:rsidR="005E53FB" w:rsidRPr="00E81A6E">
        <w:rPr>
          <w:rFonts w:ascii="Times New Roman" w:hAnsi="Times New Roman" w:cs="Times New Roman"/>
          <w:sz w:val="24"/>
          <w:szCs w:val="24"/>
          <w:lang w:val="bg-BG" w:eastAsia="en-US"/>
        </w:rPr>
        <w:t xml:space="preserve"> </w:t>
      </w:r>
      <w:r w:rsidR="00AE5481" w:rsidRPr="00E81A6E">
        <w:rPr>
          <w:rFonts w:ascii="Times New Roman" w:hAnsi="Times New Roman" w:cs="Times New Roman"/>
          <w:sz w:val="24"/>
          <w:szCs w:val="24"/>
          <w:lang w:val="bg-BG" w:eastAsia="en-US"/>
        </w:rPr>
        <w:t>„З</w:t>
      </w:r>
      <w:r w:rsidR="005E53FB" w:rsidRPr="00E81A6E">
        <w:rPr>
          <w:rFonts w:ascii="Times New Roman" w:hAnsi="Times New Roman" w:cs="Times New Roman"/>
          <w:sz w:val="24"/>
          <w:szCs w:val="24"/>
          <w:lang w:val="bg-BG" w:eastAsia="en-US"/>
        </w:rPr>
        <w:t>а приемане на стандарти за делегираните от държавата дейности с натурални и стойностни показатели</w:t>
      </w:r>
      <w:r w:rsidR="00AE5481" w:rsidRPr="00E81A6E">
        <w:rPr>
          <w:rFonts w:ascii="Times New Roman" w:hAnsi="Times New Roman" w:cs="Times New Roman"/>
          <w:sz w:val="24"/>
          <w:szCs w:val="24"/>
          <w:lang w:val="bg-BG" w:eastAsia="en-US"/>
        </w:rPr>
        <w:t>“</w:t>
      </w:r>
      <w:r w:rsidR="008318A2" w:rsidRPr="00E81A6E">
        <w:rPr>
          <w:rFonts w:ascii="Times New Roman" w:hAnsi="Times New Roman" w:cs="Times New Roman"/>
          <w:sz w:val="24"/>
          <w:szCs w:val="24"/>
          <w:lang w:val="bg-BG" w:eastAsia="en-US"/>
        </w:rPr>
        <w:t>, изменено и допълнено с РМС №972/2020г</w:t>
      </w:r>
      <w:r w:rsidR="00AE5481" w:rsidRPr="00E81A6E">
        <w:rPr>
          <w:rFonts w:ascii="Times New Roman" w:hAnsi="Times New Roman" w:cs="Times New Roman"/>
          <w:sz w:val="24"/>
          <w:szCs w:val="24"/>
          <w:lang w:val="bg-BG" w:eastAsia="en-US"/>
        </w:rPr>
        <w:t>.</w:t>
      </w:r>
    </w:p>
    <w:p w14:paraId="74EF39AA" w14:textId="77777777" w:rsidR="00641DCB" w:rsidRDefault="00641DCB" w:rsidP="00F55B06">
      <w:pPr>
        <w:spacing w:after="0" w:line="240" w:lineRule="auto"/>
        <w:ind w:firstLine="720"/>
        <w:contextualSpacing/>
        <w:jc w:val="both"/>
        <w:rPr>
          <w:rFonts w:ascii="Times New Roman" w:hAnsi="Times New Roman" w:cs="Times New Roman"/>
          <w:sz w:val="24"/>
          <w:szCs w:val="24"/>
          <w:lang w:val="bg-BG" w:eastAsia="en-US"/>
        </w:rPr>
      </w:pPr>
    </w:p>
    <w:p w14:paraId="151B9298" w14:textId="77777777" w:rsidR="006651F3" w:rsidRPr="00E81A6E" w:rsidRDefault="006651F3" w:rsidP="00F55B06">
      <w:pPr>
        <w:spacing w:after="0" w:line="240" w:lineRule="auto"/>
        <w:ind w:firstLine="720"/>
        <w:contextualSpacing/>
        <w:jc w:val="both"/>
        <w:rPr>
          <w:rFonts w:ascii="Times New Roman" w:hAnsi="Times New Roman" w:cs="Times New Roman"/>
          <w:sz w:val="24"/>
          <w:szCs w:val="24"/>
          <w:lang w:val="bg-BG" w:eastAsia="en-US"/>
        </w:rPr>
      </w:pPr>
    </w:p>
    <w:p w14:paraId="5DD392C8" w14:textId="77777777" w:rsidR="00AE5481"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b/>
          <w:bCs/>
          <w:sz w:val="24"/>
          <w:szCs w:val="24"/>
          <w:lang w:val="ru-RU"/>
        </w:rPr>
        <w:t>Таблица:</w:t>
      </w:r>
      <w:r w:rsidRPr="00E81A6E">
        <w:rPr>
          <w:rFonts w:ascii="Times New Roman" w:hAnsi="Times New Roman" w:cs="Times New Roman"/>
          <w:sz w:val="24"/>
          <w:szCs w:val="24"/>
          <w:lang w:val="ru-RU"/>
        </w:rPr>
        <w:t xml:space="preserve"> Разчети за делегирани държавни дейности по функции за 20</w:t>
      </w:r>
      <w:r w:rsidR="001F6B2A"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г. и 20</w:t>
      </w:r>
      <w:r w:rsidR="005E53FB" w:rsidRPr="00E81A6E">
        <w:rPr>
          <w:rFonts w:ascii="Times New Roman" w:hAnsi="Times New Roman" w:cs="Times New Roman"/>
          <w:sz w:val="24"/>
          <w:szCs w:val="24"/>
          <w:lang w:val="ru-RU"/>
        </w:rPr>
        <w:t>2</w:t>
      </w:r>
      <w:r w:rsidR="0020021B"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г.</w:t>
      </w:r>
    </w:p>
    <w:p w14:paraId="18B2DA06" w14:textId="77777777" w:rsidR="006F5B92" w:rsidRPr="00E81A6E" w:rsidRDefault="001F6B2A" w:rsidP="00256E10">
      <w:p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noProof/>
          <w:sz w:val="24"/>
          <w:szCs w:val="24"/>
          <w:lang w:val="bg-BG" w:eastAsia="bg-BG"/>
        </w:rPr>
        <w:lastRenderedPageBreak/>
        <w:drawing>
          <wp:inline distT="0" distB="0" distL="0" distR="0" wp14:anchorId="501AF772" wp14:editId="3593B5F1">
            <wp:extent cx="5934075" cy="2514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514600"/>
                    </a:xfrm>
                    <a:prstGeom prst="rect">
                      <a:avLst/>
                    </a:prstGeom>
                    <a:noFill/>
                    <a:ln>
                      <a:noFill/>
                    </a:ln>
                  </pic:spPr>
                </pic:pic>
              </a:graphicData>
            </a:graphic>
          </wp:inline>
        </w:drawing>
      </w:r>
    </w:p>
    <w:p w14:paraId="2062EA14"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ru-RU"/>
        </w:rPr>
      </w:pPr>
    </w:p>
    <w:p w14:paraId="0DBAC933" w14:textId="77777777" w:rsidR="00882664" w:rsidRDefault="00882664" w:rsidP="00F55B06">
      <w:pPr>
        <w:spacing w:after="0" w:line="240" w:lineRule="auto"/>
        <w:ind w:firstLine="720"/>
        <w:contextualSpacing/>
        <w:jc w:val="both"/>
        <w:rPr>
          <w:rFonts w:ascii="Times New Roman" w:hAnsi="Times New Roman" w:cs="Times New Roman"/>
          <w:sz w:val="24"/>
          <w:szCs w:val="24"/>
          <w:lang w:val="ru-RU"/>
        </w:rPr>
      </w:pPr>
    </w:p>
    <w:p w14:paraId="51C56B6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Съгласно Единната бюджетна класификация за страната, разходите се разделят на:</w:t>
      </w:r>
    </w:p>
    <w:p w14:paraId="1DB5A835" w14:textId="77777777" w:rsidR="006F5B92" w:rsidRPr="00E81A6E" w:rsidRDefault="006F5B92" w:rsidP="00350B12">
      <w:pPr>
        <w:pStyle w:val="ListParagraph"/>
        <w:numPr>
          <w:ilvl w:val="0"/>
          <w:numId w:val="14"/>
        </w:numPr>
        <w:spacing w:after="0" w:line="240" w:lineRule="auto"/>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ru-RU"/>
        </w:rPr>
        <w:t>Разходи за заплати</w:t>
      </w:r>
      <w:r w:rsidR="002F024A"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на персонала, нает по трудови</w:t>
      </w:r>
      <w:r w:rsidR="00D06158" w:rsidRPr="00E81A6E">
        <w:rPr>
          <w:rFonts w:ascii="Times New Roman" w:hAnsi="Times New Roman" w:cs="Times New Roman"/>
          <w:sz w:val="24"/>
          <w:szCs w:val="24"/>
          <w:lang w:val="ru-RU"/>
        </w:rPr>
        <w:t xml:space="preserve"> и служебни</w:t>
      </w:r>
      <w:r w:rsidRPr="00E81A6E">
        <w:rPr>
          <w:rFonts w:ascii="Times New Roman" w:hAnsi="Times New Roman" w:cs="Times New Roman"/>
          <w:sz w:val="24"/>
          <w:szCs w:val="24"/>
          <w:lang w:val="ru-RU"/>
        </w:rPr>
        <w:t xml:space="preserve"> правоотношения. За 20</w:t>
      </w:r>
      <w:r w:rsidR="00DC304B" w:rsidRPr="00E81A6E">
        <w:rPr>
          <w:rFonts w:ascii="Times New Roman" w:hAnsi="Times New Roman" w:cs="Times New Roman"/>
          <w:sz w:val="24"/>
          <w:szCs w:val="24"/>
          <w:lang w:val="ru-RU"/>
        </w:rPr>
        <w:t>21</w:t>
      </w:r>
      <w:r w:rsidR="00AC52E9" w:rsidRPr="00E81A6E">
        <w:rPr>
          <w:rFonts w:ascii="Times New Roman" w:hAnsi="Times New Roman" w:cs="Times New Roman"/>
          <w:sz w:val="24"/>
          <w:szCs w:val="24"/>
          <w:lang w:val="ru-RU"/>
        </w:rPr>
        <w:t>г.</w:t>
      </w:r>
      <w:r w:rsidRPr="00E81A6E">
        <w:rPr>
          <w:rFonts w:ascii="Times New Roman" w:hAnsi="Times New Roman" w:cs="Times New Roman"/>
          <w:sz w:val="24"/>
          <w:szCs w:val="24"/>
          <w:lang w:val="ru-RU"/>
        </w:rPr>
        <w:t xml:space="preserve"> са разчетени средства за работна заплата в размер на</w:t>
      </w:r>
      <w:r w:rsidR="00B26384" w:rsidRPr="00E81A6E">
        <w:rPr>
          <w:rFonts w:ascii="Times New Roman" w:hAnsi="Times New Roman" w:cs="Times New Roman"/>
          <w:sz w:val="24"/>
          <w:szCs w:val="24"/>
          <w:lang w:val="ru-RU"/>
        </w:rPr>
        <w:t xml:space="preserve"> </w:t>
      </w:r>
      <w:r w:rsidR="00FE6E8D" w:rsidRPr="00E81A6E">
        <w:rPr>
          <w:rFonts w:ascii="Times New Roman" w:hAnsi="Times New Roman" w:cs="Times New Roman"/>
          <w:sz w:val="24"/>
          <w:szCs w:val="24"/>
          <w:lang w:val="ru-RU"/>
        </w:rPr>
        <w:t>4</w:t>
      </w:r>
      <w:r w:rsidR="00DC304B" w:rsidRPr="00E81A6E">
        <w:rPr>
          <w:rFonts w:ascii="Times New Roman" w:hAnsi="Times New Roman" w:cs="Times New Roman"/>
          <w:sz w:val="24"/>
          <w:szCs w:val="24"/>
          <w:lang w:val="ru-RU"/>
        </w:rPr>
        <w:t>97</w:t>
      </w:r>
      <w:r w:rsidRPr="00E81A6E">
        <w:rPr>
          <w:rFonts w:ascii="Times New Roman" w:hAnsi="Times New Roman" w:cs="Times New Roman"/>
          <w:sz w:val="24"/>
          <w:szCs w:val="24"/>
          <w:lang w:val="ru-RU"/>
        </w:rPr>
        <w:t>,</w:t>
      </w:r>
      <w:r w:rsidR="006651F3" w:rsidRPr="00E81A6E">
        <w:rPr>
          <w:rFonts w:ascii="Times New Roman" w:hAnsi="Times New Roman" w:cs="Times New Roman"/>
          <w:sz w:val="24"/>
          <w:szCs w:val="24"/>
          <w:lang w:val="ru-RU"/>
        </w:rPr>
        <w:t>307</w:t>
      </w:r>
      <w:r w:rsidRPr="00E81A6E">
        <w:rPr>
          <w:rFonts w:ascii="Times New Roman" w:hAnsi="Times New Roman" w:cs="Times New Roman"/>
          <w:sz w:val="24"/>
          <w:szCs w:val="24"/>
          <w:lang w:val="ru-RU"/>
        </w:rPr>
        <w:t>,</w:t>
      </w:r>
      <w:r w:rsidR="0015037F" w:rsidRPr="00E81A6E">
        <w:rPr>
          <w:rFonts w:ascii="Times New Roman" w:hAnsi="Times New Roman" w:cs="Times New Roman"/>
          <w:sz w:val="24"/>
          <w:szCs w:val="24"/>
          <w:lang w:val="ru-RU"/>
        </w:rPr>
        <w:t>433</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rPr>
        <w:t>В това число:</w:t>
      </w:r>
    </w:p>
    <w:p w14:paraId="5D02BAAA" w14:textId="77777777" w:rsidR="006F5B92" w:rsidRPr="00E81A6E" w:rsidRDefault="006F5B92" w:rsidP="00350B12">
      <w:pPr>
        <w:numPr>
          <w:ilvl w:val="1"/>
          <w:numId w:val="15"/>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за делегирани държавни дейности</w:t>
      </w:r>
      <w:r w:rsidR="00B26384" w:rsidRPr="00E81A6E">
        <w:rPr>
          <w:rFonts w:ascii="Times New Roman" w:hAnsi="Times New Roman" w:cs="Times New Roman"/>
          <w:sz w:val="24"/>
          <w:szCs w:val="24"/>
          <w:lang w:val="ru-RU"/>
        </w:rPr>
        <w:t xml:space="preserve"> </w:t>
      </w:r>
      <w:r w:rsidR="00DC304B" w:rsidRPr="00E81A6E">
        <w:rPr>
          <w:rFonts w:ascii="Times New Roman" w:hAnsi="Times New Roman" w:cs="Times New Roman"/>
          <w:sz w:val="24"/>
          <w:szCs w:val="24"/>
          <w:lang w:val="ru-RU"/>
        </w:rPr>
        <w:t>412</w:t>
      </w:r>
      <w:r w:rsidRPr="00E81A6E">
        <w:rPr>
          <w:rFonts w:ascii="Times New Roman" w:hAnsi="Times New Roman" w:cs="Times New Roman"/>
          <w:sz w:val="24"/>
          <w:szCs w:val="24"/>
          <w:lang w:val="ru-RU"/>
        </w:rPr>
        <w:t>,</w:t>
      </w:r>
      <w:r w:rsidR="00F34FBD" w:rsidRPr="00E81A6E">
        <w:rPr>
          <w:rFonts w:ascii="Times New Roman" w:hAnsi="Times New Roman" w:cs="Times New Roman"/>
          <w:sz w:val="24"/>
          <w:szCs w:val="24"/>
          <w:lang w:val="ru-RU"/>
        </w:rPr>
        <w:t>202</w:t>
      </w:r>
      <w:r w:rsidRPr="00E81A6E">
        <w:rPr>
          <w:rFonts w:ascii="Times New Roman" w:hAnsi="Times New Roman" w:cs="Times New Roman"/>
          <w:sz w:val="24"/>
          <w:szCs w:val="24"/>
          <w:lang w:val="ru-RU"/>
        </w:rPr>
        <w:t>,</w:t>
      </w:r>
      <w:r w:rsidR="00F34FBD" w:rsidRPr="00E81A6E">
        <w:rPr>
          <w:rFonts w:ascii="Times New Roman" w:hAnsi="Times New Roman" w:cs="Times New Roman"/>
          <w:sz w:val="24"/>
          <w:szCs w:val="24"/>
          <w:lang w:val="ru-RU"/>
        </w:rPr>
        <w:t>302</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4CBFFB8D" w14:textId="77777777" w:rsidR="006F5B92" w:rsidRPr="00E81A6E" w:rsidRDefault="006F5B92" w:rsidP="00350B12">
      <w:pPr>
        <w:numPr>
          <w:ilvl w:val="1"/>
          <w:numId w:val="15"/>
        </w:numPr>
        <w:spacing w:after="0" w:line="240" w:lineRule="auto"/>
        <w:contextualSpacing/>
        <w:jc w:val="both"/>
        <w:rPr>
          <w:rFonts w:ascii="Times New Roman" w:hAnsi="Times New Roman" w:cs="Times New Roman"/>
          <w:sz w:val="24"/>
          <w:szCs w:val="24"/>
        </w:rPr>
      </w:pPr>
      <w:r w:rsidRPr="00E81A6E">
        <w:rPr>
          <w:rFonts w:ascii="Times New Roman" w:hAnsi="Times New Roman" w:cs="Times New Roman"/>
          <w:sz w:val="24"/>
          <w:szCs w:val="24"/>
        </w:rPr>
        <w:t>за дофинансиране</w:t>
      </w:r>
      <w:r w:rsidR="00B26384" w:rsidRPr="00E81A6E">
        <w:rPr>
          <w:rFonts w:ascii="Times New Roman" w:hAnsi="Times New Roman" w:cs="Times New Roman"/>
          <w:sz w:val="24"/>
          <w:szCs w:val="24"/>
        </w:rPr>
        <w:t xml:space="preserve"> </w:t>
      </w:r>
      <w:r w:rsidR="0067270B" w:rsidRPr="00E81A6E">
        <w:rPr>
          <w:rFonts w:ascii="Times New Roman" w:hAnsi="Times New Roman" w:cs="Times New Roman"/>
          <w:sz w:val="24"/>
          <w:szCs w:val="24"/>
          <w:lang w:val="bg-BG"/>
        </w:rPr>
        <w:t>4</w:t>
      </w:r>
      <w:r w:rsidR="00DC304B" w:rsidRPr="00E81A6E">
        <w:rPr>
          <w:rFonts w:ascii="Times New Roman" w:hAnsi="Times New Roman" w:cs="Times New Roman"/>
          <w:sz w:val="24"/>
          <w:szCs w:val="24"/>
          <w:lang w:val="bg-BG"/>
        </w:rPr>
        <w:t>2</w:t>
      </w:r>
      <w:r w:rsidRPr="00E81A6E">
        <w:rPr>
          <w:rFonts w:ascii="Times New Roman" w:hAnsi="Times New Roman" w:cs="Times New Roman"/>
          <w:sz w:val="24"/>
          <w:szCs w:val="24"/>
        </w:rPr>
        <w:t>,</w:t>
      </w:r>
      <w:r w:rsidR="006651F3" w:rsidRPr="00E81A6E">
        <w:rPr>
          <w:rFonts w:ascii="Times New Roman" w:hAnsi="Times New Roman" w:cs="Times New Roman"/>
          <w:sz w:val="24"/>
          <w:szCs w:val="24"/>
          <w:lang w:val="bg-BG"/>
        </w:rPr>
        <w:t>033</w:t>
      </w:r>
      <w:r w:rsidRPr="00E81A6E">
        <w:rPr>
          <w:rFonts w:ascii="Times New Roman" w:hAnsi="Times New Roman" w:cs="Times New Roman"/>
          <w:sz w:val="24"/>
          <w:szCs w:val="24"/>
        </w:rPr>
        <w:t>,</w:t>
      </w:r>
      <w:r w:rsidR="00DC304B" w:rsidRPr="00E81A6E">
        <w:rPr>
          <w:rFonts w:ascii="Times New Roman" w:hAnsi="Times New Roman" w:cs="Times New Roman"/>
          <w:sz w:val="24"/>
          <w:szCs w:val="24"/>
          <w:lang w:val="bg-BG"/>
        </w:rPr>
        <w:t>188</w:t>
      </w:r>
      <w:r w:rsidR="00B26384" w:rsidRPr="00E81A6E">
        <w:rPr>
          <w:rFonts w:ascii="Times New Roman" w:hAnsi="Times New Roman" w:cs="Times New Roman"/>
          <w:sz w:val="24"/>
          <w:szCs w:val="24"/>
        </w:rPr>
        <w:t xml:space="preserve"> </w:t>
      </w:r>
      <w:r w:rsidR="008E5645" w:rsidRPr="00E81A6E">
        <w:rPr>
          <w:rFonts w:ascii="Times New Roman" w:hAnsi="Times New Roman" w:cs="Times New Roman"/>
          <w:sz w:val="24"/>
          <w:szCs w:val="24"/>
        </w:rPr>
        <w:t>лв.</w:t>
      </w:r>
    </w:p>
    <w:p w14:paraId="7C222A5C" w14:textId="77777777" w:rsidR="006F5B92" w:rsidRPr="00E81A6E" w:rsidRDefault="006F5B92" w:rsidP="00350B12">
      <w:pPr>
        <w:numPr>
          <w:ilvl w:val="1"/>
          <w:numId w:val="15"/>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sz w:val="24"/>
          <w:szCs w:val="24"/>
        </w:rPr>
        <w:t>за местни дейности</w:t>
      </w:r>
      <w:r w:rsidR="00B26384" w:rsidRPr="00E81A6E">
        <w:rPr>
          <w:rFonts w:ascii="Times New Roman" w:hAnsi="Times New Roman" w:cs="Times New Roman"/>
          <w:sz w:val="24"/>
          <w:szCs w:val="24"/>
        </w:rPr>
        <w:t xml:space="preserve"> </w:t>
      </w:r>
      <w:r w:rsidR="00DC304B" w:rsidRPr="00E81A6E">
        <w:rPr>
          <w:rFonts w:ascii="Times New Roman" w:hAnsi="Times New Roman" w:cs="Times New Roman"/>
          <w:sz w:val="24"/>
          <w:szCs w:val="24"/>
          <w:lang w:val="bg-BG"/>
        </w:rPr>
        <w:t>43</w:t>
      </w:r>
      <w:r w:rsidRPr="00E81A6E">
        <w:rPr>
          <w:rFonts w:ascii="Times New Roman" w:hAnsi="Times New Roman" w:cs="Times New Roman"/>
          <w:sz w:val="24"/>
          <w:szCs w:val="24"/>
        </w:rPr>
        <w:t>,</w:t>
      </w:r>
      <w:r w:rsidR="00DC304B" w:rsidRPr="00E81A6E">
        <w:rPr>
          <w:rFonts w:ascii="Times New Roman" w:hAnsi="Times New Roman" w:cs="Times New Roman"/>
          <w:sz w:val="24"/>
          <w:szCs w:val="24"/>
          <w:lang w:val="bg-BG"/>
        </w:rPr>
        <w:t>071</w:t>
      </w:r>
      <w:r w:rsidRPr="00E81A6E">
        <w:rPr>
          <w:rFonts w:ascii="Times New Roman" w:hAnsi="Times New Roman" w:cs="Times New Roman"/>
          <w:sz w:val="24"/>
          <w:szCs w:val="24"/>
        </w:rPr>
        <w:t>,</w:t>
      </w:r>
      <w:r w:rsidR="00DC304B" w:rsidRPr="00E81A6E">
        <w:rPr>
          <w:rFonts w:ascii="Times New Roman" w:hAnsi="Times New Roman" w:cs="Times New Roman"/>
          <w:sz w:val="24"/>
          <w:szCs w:val="24"/>
          <w:lang w:val="bg-BG"/>
        </w:rPr>
        <w:t>943</w:t>
      </w:r>
      <w:r w:rsidR="00B26384" w:rsidRPr="00E81A6E">
        <w:rPr>
          <w:rFonts w:ascii="Times New Roman" w:hAnsi="Times New Roman" w:cs="Times New Roman"/>
          <w:sz w:val="24"/>
          <w:szCs w:val="24"/>
        </w:rPr>
        <w:t xml:space="preserve"> </w:t>
      </w:r>
      <w:r w:rsidR="008E5645" w:rsidRPr="00E81A6E">
        <w:rPr>
          <w:rFonts w:ascii="Times New Roman" w:hAnsi="Times New Roman" w:cs="Times New Roman"/>
          <w:sz w:val="24"/>
          <w:szCs w:val="24"/>
        </w:rPr>
        <w:t>лв.</w:t>
      </w:r>
    </w:p>
    <w:p w14:paraId="45BFF8F8" w14:textId="77777777" w:rsidR="003E3FC6" w:rsidRPr="00E81A6E" w:rsidRDefault="003E3FC6" w:rsidP="00F55B06">
      <w:pPr>
        <w:pStyle w:val="Default"/>
        <w:ind w:firstLine="720"/>
        <w:contextualSpacing/>
        <w:jc w:val="both"/>
        <w:rPr>
          <w:rFonts w:ascii="Times New Roman" w:hAnsi="Times New Roman" w:cs="Times New Roman"/>
          <w:b/>
          <w:bCs/>
          <w:color w:val="auto"/>
          <w:sz w:val="24"/>
          <w:szCs w:val="24"/>
        </w:rPr>
      </w:pPr>
    </w:p>
    <w:p w14:paraId="70BF0B25" w14:textId="77777777" w:rsidR="006F2D67" w:rsidRPr="00E81A6E" w:rsidRDefault="005259B6" w:rsidP="00F55B06">
      <w:pPr>
        <w:pStyle w:val="Default"/>
        <w:ind w:firstLine="720"/>
        <w:contextualSpacing/>
        <w:jc w:val="both"/>
        <w:rPr>
          <w:rFonts w:ascii="Times New Roman" w:hAnsi="Times New Roman" w:cs="Times New Roman"/>
          <w:color w:val="auto"/>
          <w:sz w:val="24"/>
          <w:szCs w:val="24"/>
        </w:rPr>
      </w:pPr>
      <w:r w:rsidRPr="00E81A6E">
        <w:rPr>
          <w:rFonts w:ascii="Times New Roman" w:hAnsi="Times New Roman" w:cs="Times New Roman"/>
          <w:b/>
          <w:bCs/>
          <w:color w:val="auto"/>
          <w:sz w:val="24"/>
          <w:szCs w:val="24"/>
        </w:rPr>
        <w:t>Държавна п</w:t>
      </w:r>
      <w:r w:rsidR="006F2D67" w:rsidRPr="00E81A6E">
        <w:rPr>
          <w:rFonts w:ascii="Times New Roman" w:hAnsi="Times New Roman" w:cs="Times New Roman"/>
          <w:b/>
          <w:bCs/>
          <w:color w:val="auto"/>
          <w:sz w:val="24"/>
          <w:szCs w:val="24"/>
        </w:rPr>
        <w:t xml:space="preserve">олитика по доходите. </w:t>
      </w:r>
      <w:r w:rsidR="006F2D67" w:rsidRPr="00E81A6E">
        <w:rPr>
          <w:rFonts w:ascii="Times New Roman" w:hAnsi="Times New Roman" w:cs="Times New Roman"/>
          <w:color w:val="auto"/>
          <w:sz w:val="24"/>
          <w:szCs w:val="24"/>
        </w:rPr>
        <w:t xml:space="preserve">Актуализираната средносрочна бюджетна прогноза </w:t>
      </w:r>
      <w:r w:rsidR="006651F3" w:rsidRPr="00E81A6E">
        <w:rPr>
          <w:rFonts w:ascii="Times New Roman" w:hAnsi="Times New Roman" w:cs="Times New Roman"/>
          <w:color w:val="auto"/>
          <w:sz w:val="24"/>
          <w:szCs w:val="24"/>
        </w:rPr>
        <w:t xml:space="preserve">на държавата </w:t>
      </w:r>
      <w:r w:rsidR="006F2D67" w:rsidRPr="00E81A6E">
        <w:rPr>
          <w:rFonts w:ascii="Times New Roman" w:hAnsi="Times New Roman" w:cs="Times New Roman"/>
          <w:color w:val="auto"/>
          <w:sz w:val="24"/>
          <w:szCs w:val="24"/>
        </w:rPr>
        <w:t xml:space="preserve">за периода 2021-2023 г. предвижда увеличение на размера на минималната работна заплата от 1 януари 2021 г. на 650 лв., като размерът от 650 лв. ще се запази през 2022 и 2023 г. </w:t>
      </w:r>
    </w:p>
    <w:p w14:paraId="6C1B8E76" w14:textId="77777777" w:rsidR="00130A85" w:rsidRPr="00E81A6E" w:rsidRDefault="006F2D6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rPr>
        <w:t xml:space="preserve">През 2021 г. ще бъде постигнато планираното удвояване на средствата за възнаграждения на педагогическите специалисти спрямо 2017г., </w:t>
      </w:r>
      <w:r w:rsidRPr="00E81A6E">
        <w:rPr>
          <w:rFonts w:ascii="Times New Roman" w:hAnsi="Times New Roman" w:cs="Times New Roman"/>
          <w:sz w:val="24"/>
          <w:szCs w:val="24"/>
          <w:lang w:val="bg-BG"/>
        </w:rPr>
        <w:t>в рамките на държавните трансфери за</w:t>
      </w:r>
      <w:r w:rsidRPr="00E81A6E">
        <w:rPr>
          <w:rFonts w:ascii="Times New Roman" w:hAnsi="Times New Roman" w:cs="Times New Roman"/>
          <w:sz w:val="24"/>
          <w:szCs w:val="24"/>
        </w:rPr>
        <w:t xml:space="preserve"> издръжка на дейностите по възпитание и обучение на децата и учениците. </w:t>
      </w:r>
    </w:p>
    <w:p w14:paraId="7835472A" w14:textId="77777777" w:rsidR="005A618E" w:rsidRPr="00E81A6E" w:rsidRDefault="005A618E"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rPr>
        <w:t xml:space="preserve">За 2021г. са планирани </w:t>
      </w:r>
      <w:r w:rsidRPr="00E81A6E">
        <w:rPr>
          <w:rFonts w:ascii="Times New Roman" w:hAnsi="Times New Roman" w:cs="Times New Roman"/>
          <w:b/>
          <w:sz w:val="24"/>
          <w:szCs w:val="24"/>
        </w:rPr>
        <w:t>целогодишно</w:t>
      </w:r>
      <w:r w:rsidRPr="00E81A6E">
        <w:rPr>
          <w:rFonts w:ascii="Times New Roman" w:hAnsi="Times New Roman" w:cs="Times New Roman"/>
          <w:sz w:val="24"/>
          <w:szCs w:val="24"/>
        </w:rPr>
        <w:t xml:space="preserve"> средства за осигуряване на увеличението от 01.08.2020г.</w:t>
      </w:r>
      <w:r w:rsidRPr="00E81A6E">
        <w:rPr>
          <w:rFonts w:ascii="Times New Roman" w:hAnsi="Times New Roman" w:cs="Times New Roman"/>
          <w:sz w:val="24"/>
          <w:szCs w:val="24"/>
          <w:lang w:val="bg-BG"/>
        </w:rPr>
        <w:t xml:space="preserve"> във функциите „Здравеопазване“ и „Социални дейности“ </w:t>
      </w:r>
      <w:r w:rsidR="004A71A8" w:rsidRPr="00E81A6E">
        <w:rPr>
          <w:rFonts w:ascii="Times New Roman" w:hAnsi="Times New Roman" w:cs="Times New Roman"/>
          <w:sz w:val="24"/>
          <w:szCs w:val="24"/>
          <w:lang w:val="bg-BG"/>
        </w:rPr>
        <w:t>, одобрен</w:t>
      </w:r>
      <w:r w:rsidR="00EC4EF5" w:rsidRPr="00E81A6E">
        <w:rPr>
          <w:rFonts w:ascii="Times New Roman" w:hAnsi="Times New Roman" w:cs="Times New Roman"/>
          <w:sz w:val="24"/>
          <w:szCs w:val="24"/>
          <w:lang w:val="bg-BG"/>
        </w:rPr>
        <w:t>о</w:t>
      </w:r>
      <w:r w:rsidR="004A71A8" w:rsidRPr="00E81A6E">
        <w:rPr>
          <w:rFonts w:ascii="Times New Roman" w:hAnsi="Times New Roman" w:cs="Times New Roman"/>
          <w:sz w:val="24"/>
          <w:szCs w:val="24"/>
          <w:lang w:val="bg-BG"/>
        </w:rPr>
        <w:t xml:space="preserve"> с ПМС №176 от 31 юли 2020г</w:t>
      </w:r>
      <w:r w:rsidRPr="00E81A6E">
        <w:rPr>
          <w:rFonts w:ascii="Times New Roman" w:hAnsi="Times New Roman" w:cs="Times New Roman"/>
          <w:sz w:val="24"/>
          <w:szCs w:val="24"/>
          <w:lang w:val="bg-BG"/>
        </w:rPr>
        <w:t>.</w:t>
      </w:r>
      <w:r w:rsidR="004A71A8" w:rsidRPr="00E81A6E">
        <w:rPr>
          <w:rFonts w:ascii="Times New Roman" w:hAnsi="Times New Roman" w:cs="Times New Roman"/>
          <w:sz w:val="24"/>
          <w:szCs w:val="24"/>
          <w:lang w:val="bg-BG"/>
        </w:rPr>
        <w:t xml:space="preserve"> </w:t>
      </w:r>
      <w:r w:rsidR="00D96C59" w:rsidRPr="00E81A6E">
        <w:rPr>
          <w:rFonts w:ascii="Times New Roman" w:hAnsi="Times New Roman" w:cs="Times New Roman"/>
          <w:sz w:val="24"/>
          <w:szCs w:val="24"/>
          <w:lang w:val="bg-BG"/>
        </w:rPr>
        <w:t>„З</w:t>
      </w:r>
      <w:r w:rsidR="004A71A8" w:rsidRPr="00E81A6E">
        <w:rPr>
          <w:rFonts w:ascii="Times New Roman" w:hAnsi="Times New Roman" w:cs="Times New Roman"/>
          <w:sz w:val="24"/>
          <w:szCs w:val="24"/>
          <w:lang w:val="bg-BG"/>
        </w:rPr>
        <w:t>а одобряване на допълнителни трансфери по бюджетите на общините, за достигане на определените с Колективния трудов договор размери на възнаграждения в отрасъл Здравеопазване и на стандартите в социалната сфера /домове за възрастни хора, домове за хора с увреждания, домове за резидентни услуги, дневни центрове за деца, центрове за настаняване от семеен тип и др./</w:t>
      </w:r>
      <w:r w:rsidR="00D96C59" w:rsidRPr="00E81A6E">
        <w:rPr>
          <w:rFonts w:ascii="Times New Roman" w:hAnsi="Times New Roman" w:cs="Times New Roman"/>
          <w:sz w:val="24"/>
          <w:szCs w:val="24"/>
          <w:lang w:val="bg-BG"/>
        </w:rPr>
        <w:t>“</w:t>
      </w:r>
      <w:r w:rsidR="004A71A8" w:rsidRPr="00E81A6E">
        <w:rPr>
          <w:rFonts w:ascii="Times New Roman" w:hAnsi="Times New Roman" w:cs="Times New Roman"/>
          <w:sz w:val="24"/>
          <w:szCs w:val="24"/>
          <w:lang w:val="bg-BG"/>
        </w:rPr>
        <w:t>, в съответствие с обявения от правителството пакет от нови социално-икономически мерки до края на 2020г.</w:t>
      </w:r>
    </w:p>
    <w:p w14:paraId="2EF811AB" w14:textId="77777777" w:rsidR="00130A85" w:rsidRPr="00E81A6E" w:rsidRDefault="003B033D"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Със ЗДБРБ за 2021г. е</w:t>
      </w:r>
      <w:r w:rsidR="00130A85" w:rsidRPr="00E81A6E">
        <w:rPr>
          <w:rFonts w:ascii="Times New Roman" w:hAnsi="Times New Roman" w:cs="Times New Roman"/>
          <w:sz w:val="24"/>
          <w:szCs w:val="24"/>
        </w:rPr>
        <w:t xml:space="preserve"> предвид</w:t>
      </w:r>
      <w:r w:rsidRPr="00E81A6E">
        <w:rPr>
          <w:rFonts w:ascii="Times New Roman" w:hAnsi="Times New Roman" w:cs="Times New Roman"/>
          <w:sz w:val="24"/>
          <w:szCs w:val="24"/>
          <w:lang w:val="bg-BG"/>
        </w:rPr>
        <w:t>ено</w:t>
      </w:r>
      <w:r w:rsidR="00130A85" w:rsidRPr="00E81A6E">
        <w:rPr>
          <w:rFonts w:ascii="Times New Roman" w:hAnsi="Times New Roman" w:cs="Times New Roman"/>
          <w:sz w:val="24"/>
          <w:szCs w:val="24"/>
        </w:rPr>
        <w:t xml:space="preserve"> увеличение с 10% на средствата за заплати и възнаграждения на персонала, нает по трудови и служебни правоотношения, включително и на средствата за осигурителни вноски</w:t>
      </w:r>
      <w:r w:rsidR="00130A85" w:rsidRPr="00E81A6E">
        <w:rPr>
          <w:rFonts w:ascii="Times New Roman" w:hAnsi="Times New Roman" w:cs="Times New Roman"/>
          <w:sz w:val="24"/>
          <w:szCs w:val="24"/>
          <w:lang w:val="bg-BG"/>
        </w:rPr>
        <w:t>.</w:t>
      </w:r>
    </w:p>
    <w:p w14:paraId="7DCA86E3" w14:textId="77777777" w:rsidR="006F5B92" w:rsidRPr="00E81A6E" w:rsidRDefault="006F2D6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 бюджета на Столична община е предвидено разчетеното със ЗДБРБ за 2021г. увеличение на средствата за работна заплата както за държавните, така и за местните дейности и за дофинансиране.</w:t>
      </w:r>
      <w:r w:rsidR="00222D29" w:rsidRPr="00E81A6E">
        <w:rPr>
          <w:rFonts w:ascii="Times New Roman" w:hAnsi="Times New Roman" w:cs="Times New Roman"/>
          <w:b/>
          <w:sz w:val="24"/>
          <w:szCs w:val="24"/>
          <w:lang w:val="bg-BG" w:eastAsia="zh-CN"/>
        </w:rPr>
        <w:t xml:space="preserve">          </w:t>
      </w:r>
    </w:p>
    <w:p w14:paraId="5DA5B464"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lastRenderedPageBreak/>
        <w:t>Запазват се съотношенията на осигурителните вноски за фондовете на държавното обществено осигуряване 60</w:t>
      </w:r>
      <w:r w:rsidRPr="00E81A6E">
        <w:rPr>
          <w:rFonts w:ascii="Times New Roman" w:hAnsi="Times New Roman" w:cs="Times New Roman"/>
          <w:sz w:val="24"/>
          <w:szCs w:val="24"/>
          <w:lang w:val="ru-RU" w:eastAsia="en-US"/>
        </w:rPr>
        <w:t>:40</w:t>
      </w:r>
      <w:r w:rsidRPr="00E81A6E">
        <w:rPr>
          <w:rFonts w:ascii="Times New Roman" w:hAnsi="Times New Roman" w:cs="Times New Roman"/>
          <w:sz w:val="24"/>
          <w:szCs w:val="24"/>
          <w:lang w:val="bg-BG" w:eastAsia="en-US"/>
        </w:rPr>
        <w:t>, дължимата вноска от работодател към фонд ДОО възлиза на 14.5 на сто за 20</w:t>
      </w:r>
      <w:r w:rsidR="00A21B27" w:rsidRPr="00E81A6E">
        <w:rPr>
          <w:rFonts w:ascii="Times New Roman" w:hAnsi="Times New Roman" w:cs="Times New Roman"/>
          <w:sz w:val="24"/>
          <w:szCs w:val="24"/>
          <w:lang w:val="bg-BG" w:eastAsia="en-US"/>
        </w:rPr>
        <w:t>2</w:t>
      </w:r>
      <w:r w:rsidR="009A68FB" w:rsidRPr="00E81A6E">
        <w:rPr>
          <w:rFonts w:ascii="Times New Roman" w:hAnsi="Times New Roman" w:cs="Times New Roman"/>
          <w:sz w:val="24"/>
          <w:szCs w:val="24"/>
          <w:lang w:val="bg-BG" w:eastAsia="en-US"/>
        </w:rPr>
        <w:t>1</w:t>
      </w:r>
      <w:r w:rsidR="00AC52E9" w:rsidRPr="00E81A6E">
        <w:rPr>
          <w:rFonts w:ascii="Times New Roman" w:hAnsi="Times New Roman" w:cs="Times New Roman"/>
          <w:sz w:val="24"/>
          <w:szCs w:val="24"/>
          <w:lang w:val="bg-BG" w:eastAsia="en-US"/>
        </w:rPr>
        <w:t>г.</w:t>
      </w:r>
      <w:r w:rsidRPr="00E81A6E">
        <w:rPr>
          <w:rFonts w:ascii="Times New Roman" w:hAnsi="Times New Roman" w:cs="Times New Roman"/>
          <w:sz w:val="24"/>
          <w:szCs w:val="24"/>
          <w:lang w:val="bg-BG" w:eastAsia="en-US"/>
        </w:rPr>
        <w:t xml:space="preserve"> </w:t>
      </w:r>
    </w:p>
    <w:p w14:paraId="390638F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Запазва се размерът на здравноосигурителната вноска на нивото от 20</w:t>
      </w:r>
      <w:r w:rsidR="009A68FB" w:rsidRPr="00E81A6E">
        <w:rPr>
          <w:rFonts w:ascii="Times New Roman" w:hAnsi="Times New Roman" w:cs="Times New Roman"/>
          <w:sz w:val="24"/>
          <w:szCs w:val="24"/>
          <w:lang w:val="bg-BG" w:eastAsia="en-US"/>
        </w:rPr>
        <w:t>20</w:t>
      </w:r>
      <w:r w:rsidR="00AC52E9" w:rsidRPr="00E81A6E">
        <w:rPr>
          <w:rFonts w:ascii="Times New Roman" w:hAnsi="Times New Roman" w:cs="Times New Roman"/>
          <w:sz w:val="24"/>
          <w:szCs w:val="24"/>
          <w:lang w:val="bg-BG" w:eastAsia="en-US"/>
        </w:rPr>
        <w:t>г.</w:t>
      </w:r>
      <w:r w:rsidRPr="00E81A6E">
        <w:rPr>
          <w:rFonts w:ascii="Times New Roman" w:hAnsi="Times New Roman" w:cs="Times New Roman"/>
          <w:sz w:val="24"/>
          <w:szCs w:val="24"/>
          <w:lang w:val="bg-BG" w:eastAsia="en-US"/>
        </w:rPr>
        <w:t xml:space="preserve"> – 8 на сто, в частта за работодател 4.8 на сто. </w:t>
      </w:r>
    </w:p>
    <w:p w14:paraId="3EC4575D"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Максималният осигурителен доход за всички осигурени лица се предвижда в размер на 3 000</w:t>
      </w:r>
      <w:r w:rsidR="008E5645" w:rsidRPr="00E81A6E">
        <w:rPr>
          <w:rFonts w:ascii="Times New Roman" w:hAnsi="Times New Roman" w:cs="Times New Roman"/>
          <w:sz w:val="24"/>
          <w:szCs w:val="24"/>
          <w:lang w:val="bg-BG" w:eastAsia="en-US"/>
        </w:rPr>
        <w:t>лв.</w:t>
      </w:r>
      <w:r w:rsidR="00B26384" w:rsidRPr="00E81A6E">
        <w:rPr>
          <w:rFonts w:ascii="Times New Roman" w:hAnsi="Times New Roman" w:cs="Times New Roman"/>
          <w:sz w:val="24"/>
          <w:szCs w:val="24"/>
          <w:lang w:val="bg-BG" w:eastAsia="en-US"/>
        </w:rPr>
        <w:t xml:space="preserve"> </w:t>
      </w:r>
    </w:p>
    <w:p w14:paraId="0D585963"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eastAsia="en-US"/>
        </w:rPr>
      </w:pPr>
    </w:p>
    <w:p w14:paraId="1169F333" w14:textId="77777777" w:rsidR="00B57557" w:rsidRPr="00E81A6E" w:rsidRDefault="006F5B92" w:rsidP="003E3FC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ru-RU"/>
        </w:rPr>
        <w:t>Текущата издръжка</w:t>
      </w:r>
      <w:r w:rsidRPr="00E81A6E">
        <w:rPr>
          <w:rFonts w:ascii="Times New Roman" w:hAnsi="Times New Roman" w:cs="Times New Roman"/>
          <w:sz w:val="24"/>
          <w:szCs w:val="24"/>
          <w:lang w:val="ru-RU"/>
        </w:rPr>
        <w:t xml:space="preserve"> включва разходи за: материали, отопление, осветление, текущи ремонти, външни услуги, учебни помагала, храна, средства за работно облекло и други</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в съответствие с дейността. Субсидиите за читалища, както и за медицинска дейност също са в рамките на разчетените веществени разходи. </w:t>
      </w:r>
      <w:r w:rsidRPr="00E81A6E">
        <w:rPr>
          <w:rFonts w:ascii="Times New Roman" w:hAnsi="Times New Roman" w:cs="Times New Roman"/>
          <w:sz w:val="24"/>
          <w:szCs w:val="24"/>
        </w:rPr>
        <w:t>С бюджет 20</w:t>
      </w:r>
      <w:r w:rsidR="00FE6E8D" w:rsidRPr="00E81A6E">
        <w:rPr>
          <w:rFonts w:ascii="Times New Roman" w:hAnsi="Times New Roman" w:cs="Times New Roman"/>
          <w:sz w:val="24"/>
          <w:szCs w:val="24"/>
          <w:lang w:val="bg-BG"/>
        </w:rPr>
        <w:t>2</w:t>
      </w:r>
      <w:r w:rsidR="005E2B72" w:rsidRPr="00E81A6E">
        <w:rPr>
          <w:rFonts w:ascii="Times New Roman" w:hAnsi="Times New Roman" w:cs="Times New Roman"/>
          <w:sz w:val="24"/>
          <w:szCs w:val="24"/>
          <w:lang w:val="bg-BG"/>
        </w:rPr>
        <w:t>1</w:t>
      </w:r>
      <w:r w:rsidRPr="00E81A6E">
        <w:rPr>
          <w:rFonts w:ascii="Times New Roman" w:hAnsi="Times New Roman" w:cs="Times New Roman"/>
          <w:sz w:val="24"/>
          <w:szCs w:val="24"/>
        </w:rPr>
        <w:t xml:space="preserve"> издръжката е оптимизирана.</w:t>
      </w:r>
    </w:p>
    <w:p w14:paraId="28A3A2E7" w14:textId="77777777" w:rsidR="003E3FC6" w:rsidRPr="00E81A6E" w:rsidRDefault="003E3FC6" w:rsidP="003E3FC6">
      <w:pPr>
        <w:spacing w:after="0" w:line="240" w:lineRule="auto"/>
        <w:ind w:firstLine="720"/>
        <w:contextualSpacing/>
        <w:jc w:val="both"/>
        <w:rPr>
          <w:rFonts w:ascii="Times New Roman" w:hAnsi="Times New Roman" w:cs="Times New Roman"/>
          <w:sz w:val="24"/>
          <w:szCs w:val="24"/>
        </w:rPr>
      </w:pPr>
    </w:p>
    <w:p w14:paraId="28AD3450" w14:textId="77777777" w:rsidR="00B57557" w:rsidRPr="00E81A6E" w:rsidRDefault="00B57557"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Разпределение на разходите по бюджетни функции, съгласно Единната бюджетна класификация</w:t>
      </w:r>
      <w:r w:rsidR="00F23FB7" w:rsidRPr="00E81A6E">
        <w:rPr>
          <w:rFonts w:ascii="Times New Roman" w:hAnsi="Times New Roman" w:cs="Times New Roman"/>
          <w:sz w:val="24"/>
          <w:szCs w:val="24"/>
          <w:lang w:val="bg-BG"/>
        </w:rPr>
        <w:t>:</w:t>
      </w:r>
    </w:p>
    <w:p w14:paraId="17BCA3FA"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rPr>
      </w:pPr>
    </w:p>
    <w:p w14:paraId="3AEB692A"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ru-RU"/>
        </w:rPr>
      </w:pPr>
      <w:bookmarkStart w:id="70" w:name="_Toc409874550"/>
      <w:bookmarkStart w:id="71" w:name="_Toc499639779"/>
      <w:bookmarkStart w:id="72" w:name="_Toc500496075"/>
      <w:bookmarkStart w:id="73" w:name="_Toc500496421"/>
      <w:bookmarkStart w:id="74" w:name="_Toc503629622"/>
      <w:bookmarkStart w:id="75" w:name="_Toc61971774"/>
      <w:r w:rsidRPr="00E81A6E">
        <w:rPr>
          <w:rFonts w:ascii="Times New Roman" w:hAnsi="Times New Roman" w:cs="Times New Roman"/>
          <w:color w:val="auto"/>
          <w:sz w:val="24"/>
          <w:szCs w:val="24"/>
          <w:lang w:val="ru-RU"/>
        </w:rPr>
        <w:t>Функция “Общи държавни служби”</w:t>
      </w:r>
      <w:bookmarkEnd w:id="70"/>
      <w:bookmarkEnd w:id="71"/>
      <w:bookmarkEnd w:id="72"/>
      <w:bookmarkEnd w:id="73"/>
      <w:r w:rsidRPr="00E81A6E">
        <w:rPr>
          <w:rFonts w:ascii="Times New Roman" w:hAnsi="Times New Roman" w:cs="Times New Roman"/>
          <w:color w:val="auto"/>
          <w:sz w:val="24"/>
          <w:szCs w:val="24"/>
          <w:lang w:val="ru-RU"/>
        </w:rPr>
        <w:t xml:space="preserve"> </w:t>
      </w:r>
      <w:r w:rsidRPr="00E81A6E">
        <w:rPr>
          <w:rFonts w:ascii="Times New Roman" w:hAnsi="Times New Roman" w:cs="Times New Roman"/>
          <w:color w:val="auto"/>
          <w:sz w:val="24"/>
          <w:szCs w:val="24"/>
          <w:lang w:val="bg-BG"/>
        </w:rPr>
        <w:t>– текущи разходи</w:t>
      </w:r>
      <w:bookmarkEnd w:id="74"/>
      <w:bookmarkEnd w:id="75"/>
    </w:p>
    <w:p w14:paraId="742E44B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Включва дейностите на Столичния общински съвет, общинската и районните администрации. </w:t>
      </w:r>
    </w:p>
    <w:p w14:paraId="2E0E7C11"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Предвидените средства за </w:t>
      </w:r>
      <w:r w:rsidRPr="00E81A6E">
        <w:rPr>
          <w:rFonts w:ascii="Times New Roman" w:hAnsi="Times New Roman" w:cs="Times New Roman"/>
          <w:b/>
          <w:bCs/>
          <w:sz w:val="24"/>
          <w:szCs w:val="24"/>
          <w:lang w:val="ru-RU"/>
        </w:rPr>
        <w:t>дейност “Общински съвети“</w:t>
      </w:r>
      <w:r w:rsidRPr="00E81A6E">
        <w:rPr>
          <w:rFonts w:ascii="Times New Roman" w:hAnsi="Times New Roman" w:cs="Times New Roman"/>
          <w:sz w:val="24"/>
          <w:szCs w:val="24"/>
          <w:lang w:val="ru-RU"/>
        </w:rPr>
        <w:t xml:space="preserve">, която е общинска отговорност, са в размер на </w:t>
      </w:r>
      <w:r w:rsidRPr="00E81A6E">
        <w:rPr>
          <w:rFonts w:ascii="Times New Roman" w:hAnsi="Times New Roman" w:cs="Times New Roman"/>
          <w:b/>
          <w:bCs/>
          <w:sz w:val="24"/>
          <w:szCs w:val="24"/>
          <w:lang w:val="ru-RU"/>
        </w:rPr>
        <w:t>4,</w:t>
      </w:r>
      <w:r w:rsidR="0036576B" w:rsidRPr="00E81A6E">
        <w:rPr>
          <w:rFonts w:ascii="Times New Roman" w:hAnsi="Times New Roman" w:cs="Times New Roman"/>
          <w:b/>
          <w:bCs/>
          <w:sz w:val="24"/>
          <w:szCs w:val="24"/>
          <w:lang w:val="ru-RU"/>
        </w:rPr>
        <w:t>011</w:t>
      </w:r>
      <w:r w:rsidRPr="00E81A6E">
        <w:rPr>
          <w:rFonts w:ascii="Times New Roman" w:hAnsi="Times New Roman" w:cs="Times New Roman"/>
          <w:b/>
          <w:bCs/>
          <w:sz w:val="24"/>
          <w:szCs w:val="24"/>
          <w:lang w:val="ru-RU"/>
        </w:rPr>
        <w:t>,</w:t>
      </w:r>
      <w:r w:rsidR="00CF49B1" w:rsidRPr="00E81A6E">
        <w:rPr>
          <w:rFonts w:ascii="Times New Roman" w:hAnsi="Times New Roman" w:cs="Times New Roman"/>
          <w:b/>
          <w:bCs/>
          <w:sz w:val="24"/>
          <w:szCs w:val="24"/>
          <w:lang w:val="ru-RU"/>
        </w:rPr>
        <w:t>0</w:t>
      </w:r>
      <w:r w:rsidRPr="00E81A6E">
        <w:rPr>
          <w:rFonts w:ascii="Times New Roman" w:hAnsi="Times New Roman" w:cs="Times New Roman"/>
          <w:b/>
          <w:bCs/>
          <w:sz w:val="24"/>
          <w:szCs w:val="24"/>
          <w:lang w:val="bg-BG"/>
        </w:rPr>
        <w:t>00</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sz w:val="24"/>
          <w:szCs w:val="24"/>
          <w:lang w:val="ru-RU"/>
        </w:rPr>
        <w:t xml:space="preserve"> и представляват разходите за издръжка на Столичен общински съвет.</w:t>
      </w:r>
    </w:p>
    <w:p w14:paraId="7CBA678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w:t>
      </w:r>
      <w:r w:rsidRPr="00E81A6E">
        <w:rPr>
          <w:rFonts w:ascii="Times New Roman" w:hAnsi="Times New Roman" w:cs="Times New Roman"/>
          <w:sz w:val="24"/>
          <w:szCs w:val="24"/>
          <w:lang w:val="bg-BG"/>
        </w:rPr>
        <w:t>гласно</w:t>
      </w:r>
      <w:r w:rsidRPr="00E81A6E">
        <w:rPr>
          <w:rFonts w:ascii="Times New Roman" w:hAnsi="Times New Roman" w:cs="Times New Roman"/>
          <w:sz w:val="24"/>
          <w:szCs w:val="24"/>
          <w:lang w:val="ru-RU"/>
        </w:rPr>
        <w:t xml:space="preserve"> З</w:t>
      </w:r>
      <w:r w:rsidRPr="00E81A6E">
        <w:rPr>
          <w:rFonts w:ascii="Times New Roman" w:hAnsi="Times New Roman" w:cs="Times New Roman"/>
          <w:sz w:val="24"/>
          <w:szCs w:val="24"/>
          <w:lang w:val="bg-BG"/>
        </w:rPr>
        <w:t>акона за местно самоуправление и местна администрация</w:t>
      </w:r>
      <w:r w:rsidRPr="00E81A6E">
        <w:rPr>
          <w:rFonts w:ascii="Times New Roman" w:hAnsi="Times New Roman" w:cs="Times New Roman"/>
          <w:sz w:val="24"/>
          <w:szCs w:val="24"/>
          <w:lang w:val="ru-RU"/>
        </w:rPr>
        <w:t>, чл.34, ал. 2</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общият размер на възнаграждението на общинския съветник не може да бъде повече от 70 на сто от: брутн</w:t>
      </w:r>
      <w:r w:rsidRPr="00E81A6E">
        <w:rPr>
          <w:rFonts w:ascii="Times New Roman" w:hAnsi="Times New Roman" w:cs="Times New Roman"/>
          <w:sz w:val="24"/>
          <w:szCs w:val="24"/>
          <w:lang w:val="bg-BG"/>
        </w:rPr>
        <w:t>ото</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възнаграждение</w:t>
      </w:r>
      <w:r w:rsidRPr="00E81A6E">
        <w:rPr>
          <w:rFonts w:ascii="Times New Roman" w:hAnsi="Times New Roman" w:cs="Times New Roman"/>
          <w:sz w:val="24"/>
          <w:szCs w:val="24"/>
          <w:lang w:val="ru-RU"/>
        </w:rPr>
        <w:t xml:space="preserve"> на председателя на общинския съвет за съответния месец – в общините с население над 100</w:t>
      </w:r>
      <w:r w:rsidRPr="00E81A6E">
        <w:rPr>
          <w:rFonts w:ascii="Times New Roman" w:hAnsi="Times New Roman" w:cs="Times New Roman"/>
          <w:sz w:val="24"/>
          <w:szCs w:val="24"/>
        </w:rPr>
        <w:t> </w:t>
      </w:r>
      <w:r w:rsidRPr="00E81A6E">
        <w:rPr>
          <w:rFonts w:ascii="Times New Roman" w:hAnsi="Times New Roman" w:cs="Times New Roman"/>
          <w:sz w:val="24"/>
          <w:szCs w:val="24"/>
          <w:lang w:val="ru-RU"/>
        </w:rPr>
        <w:t>000 души</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w:t>
      </w:r>
    </w:p>
    <w:p w14:paraId="1622673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В проектобюджета заплатите на омбудсмана на София /1.8 на сто от средната брутна работна заплата на общинската администрация/ и заместник омбудстмана </w:t>
      </w:r>
      <w:r w:rsidR="0036576B"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90 на сто от заплатата на омбудсмана/, са разчетени по §01-01 „Заплати на персонала по трудови правоотношения“.</w:t>
      </w:r>
      <w:r w:rsidRPr="00E81A6E">
        <w:rPr>
          <w:rFonts w:ascii="Times New Roman" w:hAnsi="Times New Roman" w:cs="Times New Roman"/>
          <w:sz w:val="24"/>
          <w:szCs w:val="24"/>
          <w:lang w:val="bg-BG"/>
        </w:rPr>
        <w:t xml:space="preserve"> </w:t>
      </w:r>
    </w:p>
    <w:p w14:paraId="40DF1D7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По § 02 “Други възнаграждения на персонала” са разчетени за 20</w:t>
      </w:r>
      <w:r w:rsidR="00A21B27" w:rsidRPr="00E81A6E">
        <w:rPr>
          <w:rFonts w:ascii="Times New Roman" w:hAnsi="Times New Roman" w:cs="Times New Roman"/>
          <w:sz w:val="24"/>
          <w:szCs w:val="24"/>
          <w:lang w:val="bg-BG" w:eastAsia="en-US"/>
        </w:rPr>
        <w:t>2</w:t>
      </w:r>
      <w:r w:rsidR="00CF49B1" w:rsidRPr="00E81A6E">
        <w:rPr>
          <w:rFonts w:ascii="Times New Roman" w:hAnsi="Times New Roman" w:cs="Times New Roman"/>
          <w:sz w:val="24"/>
          <w:szCs w:val="24"/>
          <w:lang w:val="bg-BG" w:eastAsia="en-US"/>
        </w:rPr>
        <w:t>1</w:t>
      </w:r>
      <w:r w:rsidRPr="00E81A6E">
        <w:rPr>
          <w:rFonts w:ascii="Times New Roman" w:hAnsi="Times New Roman" w:cs="Times New Roman"/>
          <w:sz w:val="24"/>
          <w:szCs w:val="24"/>
          <w:lang w:val="bg-BG" w:eastAsia="en-US"/>
        </w:rPr>
        <w:t>г.</w:t>
      </w:r>
      <w:r w:rsidR="00B26384"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средства в размер на 2,</w:t>
      </w:r>
      <w:r w:rsidR="00CF49B1" w:rsidRPr="00E81A6E">
        <w:rPr>
          <w:rFonts w:ascii="Times New Roman" w:hAnsi="Times New Roman" w:cs="Times New Roman"/>
          <w:sz w:val="24"/>
          <w:szCs w:val="24"/>
          <w:lang w:val="bg-BG" w:eastAsia="en-US"/>
        </w:rPr>
        <w:t>0</w:t>
      </w:r>
      <w:r w:rsidR="00A21B27" w:rsidRPr="00E81A6E">
        <w:rPr>
          <w:rFonts w:ascii="Times New Roman" w:hAnsi="Times New Roman" w:cs="Times New Roman"/>
          <w:sz w:val="24"/>
          <w:szCs w:val="24"/>
          <w:lang w:val="bg-BG" w:eastAsia="en-US"/>
        </w:rPr>
        <w:t>10</w:t>
      </w:r>
      <w:r w:rsidRPr="00E81A6E">
        <w:rPr>
          <w:rFonts w:ascii="Times New Roman" w:hAnsi="Times New Roman" w:cs="Times New Roman"/>
          <w:sz w:val="24"/>
          <w:szCs w:val="24"/>
          <w:lang w:val="bg-BG" w:eastAsia="en-US"/>
        </w:rPr>
        <w:t>,</w:t>
      </w:r>
      <w:r w:rsidR="00A21B27" w:rsidRPr="00E81A6E">
        <w:rPr>
          <w:rFonts w:ascii="Times New Roman" w:hAnsi="Times New Roman" w:cs="Times New Roman"/>
          <w:sz w:val="24"/>
          <w:szCs w:val="24"/>
          <w:lang w:val="bg-BG" w:eastAsia="en-US"/>
        </w:rPr>
        <w:t>000</w:t>
      </w:r>
      <w:r w:rsidR="008E5645" w:rsidRPr="00E81A6E">
        <w:rPr>
          <w:rFonts w:ascii="Times New Roman" w:hAnsi="Times New Roman" w:cs="Times New Roman"/>
          <w:sz w:val="24"/>
          <w:szCs w:val="24"/>
          <w:lang w:val="bg-BG" w:eastAsia="en-US"/>
        </w:rPr>
        <w:t xml:space="preserve"> лв.</w:t>
      </w:r>
      <w:r w:rsidRPr="00E81A6E">
        <w:rPr>
          <w:rFonts w:ascii="Times New Roman" w:hAnsi="Times New Roman" w:cs="Times New Roman"/>
          <w:sz w:val="24"/>
          <w:szCs w:val="24"/>
          <w:lang w:val="bg-BG" w:eastAsia="en-US"/>
        </w:rPr>
        <w:t>, в т.ч.</w:t>
      </w:r>
      <w:r w:rsidR="00B26384"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възнагражденията на общинските</w:t>
      </w:r>
      <w:r w:rsidR="00B26384"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съветници в Столичен общински</w:t>
      </w:r>
      <w:r w:rsidR="00B26384"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съвет, участие на общински съветници в комисии, за външни експерти в Столичен общински съвет на граждански договори, възнаграждения на</w:t>
      </w:r>
      <w:r w:rsidR="00B26384" w:rsidRPr="00E81A6E">
        <w:rPr>
          <w:rFonts w:ascii="Times New Roman" w:hAnsi="Times New Roman" w:cs="Times New Roman"/>
          <w:sz w:val="24"/>
          <w:szCs w:val="24"/>
          <w:lang w:val="bg-BG" w:eastAsia="en-US"/>
        </w:rPr>
        <w:t xml:space="preserve"> </w:t>
      </w:r>
      <w:r w:rsidRPr="00E81A6E">
        <w:rPr>
          <w:rFonts w:ascii="Times New Roman" w:hAnsi="Times New Roman" w:cs="Times New Roman"/>
          <w:sz w:val="24"/>
          <w:szCs w:val="24"/>
          <w:lang w:val="bg-BG" w:eastAsia="en-US"/>
        </w:rPr>
        <w:t xml:space="preserve">сътрудници </w:t>
      </w:r>
      <w:r w:rsidR="0036576B" w:rsidRPr="00E81A6E">
        <w:rPr>
          <w:rFonts w:ascii="Times New Roman" w:hAnsi="Times New Roman" w:cs="Times New Roman"/>
          <w:sz w:val="24"/>
          <w:szCs w:val="24"/>
          <w:lang w:val="bg-BG" w:eastAsia="en-US"/>
        </w:rPr>
        <w:t>на</w:t>
      </w:r>
      <w:r w:rsidRPr="00E81A6E">
        <w:rPr>
          <w:rFonts w:ascii="Times New Roman" w:hAnsi="Times New Roman" w:cs="Times New Roman"/>
          <w:sz w:val="24"/>
          <w:szCs w:val="24"/>
          <w:lang w:val="bg-BG" w:eastAsia="en-US"/>
        </w:rPr>
        <w:t xml:space="preserve"> политически партии, възнаграждения на експерти към омбудсмана, възнаграждения на членове на комисията, съгласно Закона за противодействие на корупцията</w:t>
      </w:r>
      <w:r w:rsidR="0036576B" w:rsidRPr="00E81A6E">
        <w:rPr>
          <w:rFonts w:ascii="Times New Roman" w:hAnsi="Times New Roman" w:cs="Times New Roman"/>
          <w:sz w:val="24"/>
          <w:szCs w:val="24"/>
          <w:lang w:val="bg-BG" w:eastAsia="en-US"/>
        </w:rPr>
        <w:t xml:space="preserve"> и други плащания</w:t>
      </w:r>
      <w:r w:rsidRPr="00E81A6E">
        <w:rPr>
          <w:rFonts w:ascii="Times New Roman" w:hAnsi="Times New Roman" w:cs="Times New Roman"/>
          <w:sz w:val="24"/>
          <w:szCs w:val="24"/>
          <w:lang w:val="bg-BG" w:eastAsia="en-US"/>
        </w:rPr>
        <w:t>.</w:t>
      </w:r>
    </w:p>
    <w:p w14:paraId="4A7A790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По §0500 “Осигурителни </w:t>
      </w:r>
      <w:r w:rsidR="0036576B" w:rsidRPr="00E81A6E">
        <w:rPr>
          <w:rFonts w:ascii="Times New Roman" w:hAnsi="Times New Roman" w:cs="Times New Roman"/>
          <w:sz w:val="24"/>
          <w:szCs w:val="24"/>
          <w:lang w:val="bg-BG" w:eastAsia="en-US"/>
        </w:rPr>
        <w:t>вноски</w:t>
      </w:r>
      <w:r w:rsidRPr="00E81A6E">
        <w:rPr>
          <w:rFonts w:ascii="Times New Roman" w:hAnsi="Times New Roman" w:cs="Times New Roman"/>
          <w:sz w:val="24"/>
          <w:szCs w:val="24"/>
          <w:lang w:val="bg-BG" w:eastAsia="en-US"/>
        </w:rPr>
        <w:t>” са разчетени 2</w:t>
      </w:r>
      <w:r w:rsidR="00FE6E8D" w:rsidRPr="00E81A6E">
        <w:rPr>
          <w:rFonts w:ascii="Times New Roman" w:hAnsi="Times New Roman" w:cs="Times New Roman"/>
          <w:sz w:val="24"/>
          <w:szCs w:val="24"/>
          <w:lang w:val="bg-BG" w:eastAsia="en-US"/>
        </w:rPr>
        <w:t>4</w:t>
      </w:r>
      <w:r w:rsidR="0036576B" w:rsidRPr="00E81A6E">
        <w:rPr>
          <w:rFonts w:ascii="Times New Roman" w:hAnsi="Times New Roman" w:cs="Times New Roman"/>
          <w:sz w:val="24"/>
          <w:szCs w:val="24"/>
          <w:lang w:val="bg-BG" w:eastAsia="en-US"/>
        </w:rPr>
        <w:t>4</w:t>
      </w:r>
      <w:r w:rsidRPr="00E81A6E">
        <w:rPr>
          <w:rFonts w:ascii="Times New Roman" w:hAnsi="Times New Roman" w:cs="Times New Roman"/>
          <w:sz w:val="24"/>
          <w:szCs w:val="24"/>
          <w:lang w:val="bg-BG" w:eastAsia="en-US"/>
        </w:rPr>
        <w:t>,000</w:t>
      </w:r>
      <w:r w:rsidR="00B26384" w:rsidRPr="00E81A6E">
        <w:rPr>
          <w:rFonts w:ascii="Times New Roman" w:hAnsi="Times New Roman" w:cs="Times New Roman"/>
          <w:sz w:val="24"/>
          <w:szCs w:val="24"/>
          <w:lang w:val="bg-BG" w:eastAsia="en-US"/>
        </w:rPr>
        <w:t xml:space="preserve"> </w:t>
      </w:r>
      <w:r w:rsidR="008E5645" w:rsidRPr="00E81A6E">
        <w:rPr>
          <w:rFonts w:ascii="Times New Roman" w:hAnsi="Times New Roman" w:cs="Times New Roman"/>
          <w:sz w:val="24"/>
          <w:szCs w:val="24"/>
          <w:lang w:val="bg-BG" w:eastAsia="en-US"/>
        </w:rPr>
        <w:t>лв.</w:t>
      </w:r>
    </w:p>
    <w:p w14:paraId="57820C16"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eastAsia="en-US"/>
        </w:rPr>
      </w:pPr>
    </w:p>
    <w:p w14:paraId="33167C36"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eastAsia="en-US"/>
        </w:rPr>
      </w:pPr>
      <w:r w:rsidRPr="00E81A6E">
        <w:rPr>
          <w:rFonts w:ascii="Times New Roman" w:hAnsi="Times New Roman" w:cs="Times New Roman"/>
          <w:b/>
          <w:bCs/>
          <w:sz w:val="24"/>
          <w:szCs w:val="24"/>
          <w:lang w:val="bg-BG" w:eastAsia="en-US"/>
        </w:rPr>
        <w:t>В §10-00 “Издръжка”</w:t>
      </w:r>
      <w:r w:rsidR="00B26384" w:rsidRPr="00E81A6E">
        <w:rPr>
          <w:rFonts w:ascii="Times New Roman" w:hAnsi="Times New Roman" w:cs="Times New Roman"/>
          <w:b/>
          <w:bCs/>
          <w:sz w:val="24"/>
          <w:szCs w:val="24"/>
          <w:lang w:val="bg-BG" w:eastAsia="en-US"/>
        </w:rPr>
        <w:t xml:space="preserve"> </w:t>
      </w:r>
      <w:r w:rsidRPr="00E81A6E">
        <w:rPr>
          <w:rFonts w:ascii="Times New Roman" w:hAnsi="Times New Roman" w:cs="Times New Roman"/>
          <w:b/>
          <w:bCs/>
          <w:sz w:val="24"/>
          <w:szCs w:val="24"/>
          <w:lang w:val="bg-BG" w:eastAsia="en-US"/>
        </w:rPr>
        <w:t xml:space="preserve">са разчетени средства в размер на </w:t>
      </w:r>
      <w:r w:rsidR="00CF49B1" w:rsidRPr="00E81A6E">
        <w:rPr>
          <w:rFonts w:ascii="Times New Roman" w:hAnsi="Times New Roman" w:cs="Times New Roman"/>
          <w:b/>
          <w:bCs/>
          <w:sz w:val="24"/>
          <w:szCs w:val="24"/>
          <w:lang w:val="bg-BG" w:eastAsia="en-US"/>
        </w:rPr>
        <w:t>695</w:t>
      </w:r>
      <w:r w:rsidRPr="00E81A6E">
        <w:rPr>
          <w:rFonts w:ascii="Times New Roman" w:hAnsi="Times New Roman" w:cs="Times New Roman"/>
          <w:b/>
          <w:bCs/>
          <w:sz w:val="24"/>
          <w:szCs w:val="24"/>
          <w:lang w:val="bg-BG" w:eastAsia="en-US"/>
        </w:rPr>
        <w:t>,</w:t>
      </w:r>
      <w:r w:rsidR="00CF49B1" w:rsidRPr="00E81A6E">
        <w:rPr>
          <w:rFonts w:ascii="Times New Roman" w:hAnsi="Times New Roman" w:cs="Times New Roman"/>
          <w:b/>
          <w:bCs/>
          <w:sz w:val="24"/>
          <w:szCs w:val="24"/>
          <w:lang w:val="bg-BG" w:eastAsia="en-US"/>
        </w:rPr>
        <w:t>0</w:t>
      </w:r>
      <w:r w:rsidRPr="00E81A6E">
        <w:rPr>
          <w:rFonts w:ascii="Times New Roman" w:hAnsi="Times New Roman" w:cs="Times New Roman"/>
          <w:b/>
          <w:bCs/>
          <w:sz w:val="24"/>
          <w:szCs w:val="24"/>
          <w:lang w:val="bg-BG" w:eastAsia="en-US"/>
        </w:rPr>
        <w:t>00</w:t>
      </w:r>
      <w:r w:rsidR="00B26384" w:rsidRPr="00E81A6E">
        <w:rPr>
          <w:rFonts w:ascii="Times New Roman" w:hAnsi="Times New Roman" w:cs="Times New Roman"/>
          <w:b/>
          <w:bCs/>
          <w:sz w:val="24"/>
          <w:szCs w:val="24"/>
          <w:lang w:val="bg-BG" w:eastAsia="en-US"/>
        </w:rPr>
        <w:t xml:space="preserve"> </w:t>
      </w:r>
      <w:r w:rsidR="008E5645" w:rsidRPr="00E81A6E">
        <w:rPr>
          <w:rFonts w:ascii="Times New Roman" w:hAnsi="Times New Roman" w:cs="Times New Roman"/>
          <w:b/>
          <w:bCs/>
          <w:sz w:val="24"/>
          <w:szCs w:val="24"/>
          <w:lang w:val="bg-BG" w:eastAsia="en-US"/>
        </w:rPr>
        <w:t>лв.</w:t>
      </w:r>
      <w:r w:rsidRPr="00E81A6E">
        <w:rPr>
          <w:rFonts w:ascii="Times New Roman" w:hAnsi="Times New Roman" w:cs="Times New Roman"/>
          <w:b/>
          <w:bCs/>
          <w:sz w:val="24"/>
          <w:szCs w:val="24"/>
          <w:lang w:val="bg-BG" w:eastAsia="en-US"/>
        </w:rPr>
        <w:t>, в т.ч.</w:t>
      </w:r>
    </w:p>
    <w:p w14:paraId="00A803C1" w14:textId="77777777" w:rsidR="006F5B92" w:rsidRPr="00E81A6E" w:rsidRDefault="006F5B92" w:rsidP="00350B12">
      <w:pPr>
        <w:pStyle w:val="ListParagraph"/>
        <w:numPr>
          <w:ilvl w:val="0"/>
          <w:numId w:val="16"/>
        </w:numPr>
        <w:spacing w:after="0" w:line="240" w:lineRule="auto"/>
        <w:contextualSpacing/>
        <w:jc w:val="both"/>
        <w:rPr>
          <w:rFonts w:ascii="Times New Roman" w:hAnsi="Times New Roman" w:cs="Times New Roman"/>
          <w:i/>
          <w:iCs/>
          <w:sz w:val="24"/>
          <w:szCs w:val="24"/>
          <w:lang w:val="ru-RU" w:eastAsia="en-US"/>
        </w:rPr>
      </w:pPr>
      <w:r w:rsidRPr="00E81A6E">
        <w:rPr>
          <w:rFonts w:ascii="Times New Roman" w:hAnsi="Times New Roman" w:cs="Times New Roman"/>
          <w:i/>
          <w:iCs/>
          <w:sz w:val="24"/>
          <w:szCs w:val="24"/>
          <w:lang w:val="bg-BG" w:eastAsia="en-US"/>
        </w:rPr>
        <w:t>разходите на общинските съветници</w:t>
      </w:r>
      <w:r w:rsidR="00B26384" w:rsidRPr="00E81A6E">
        <w:rPr>
          <w:rFonts w:ascii="Times New Roman" w:hAnsi="Times New Roman" w:cs="Times New Roman"/>
          <w:i/>
          <w:iCs/>
          <w:sz w:val="24"/>
          <w:szCs w:val="24"/>
          <w:lang w:val="bg-BG" w:eastAsia="en-US"/>
        </w:rPr>
        <w:t xml:space="preserve"> </w:t>
      </w:r>
      <w:r w:rsidRPr="00E81A6E">
        <w:rPr>
          <w:rFonts w:ascii="Times New Roman" w:hAnsi="Times New Roman" w:cs="Times New Roman"/>
          <w:i/>
          <w:iCs/>
          <w:sz w:val="24"/>
          <w:szCs w:val="24"/>
          <w:lang w:val="bg-BG" w:eastAsia="en-US"/>
        </w:rPr>
        <w:t xml:space="preserve">във връзка с работата им в общинския съвет </w:t>
      </w:r>
      <w:r w:rsidRPr="00E81A6E">
        <w:rPr>
          <w:rFonts w:ascii="Times New Roman" w:hAnsi="Times New Roman" w:cs="Times New Roman"/>
          <w:i/>
          <w:iCs/>
          <w:sz w:val="24"/>
          <w:szCs w:val="24"/>
          <w:lang w:val="ru-RU" w:eastAsia="en-US"/>
        </w:rPr>
        <w:t>/ до 30% от брутното възнаграждение на Председателя на СОС/ ;</w:t>
      </w:r>
      <w:r w:rsidR="00B26384" w:rsidRPr="00E81A6E">
        <w:rPr>
          <w:rFonts w:ascii="Times New Roman" w:hAnsi="Times New Roman" w:cs="Times New Roman"/>
          <w:i/>
          <w:iCs/>
          <w:sz w:val="24"/>
          <w:szCs w:val="24"/>
          <w:lang w:val="bg-BG" w:eastAsia="en-US"/>
        </w:rPr>
        <w:t xml:space="preserve"> </w:t>
      </w:r>
    </w:p>
    <w:p w14:paraId="48A4B850" w14:textId="77777777" w:rsidR="006F5B92" w:rsidRPr="00E81A6E" w:rsidRDefault="006F5B92" w:rsidP="00350B12">
      <w:pPr>
        <w:pStyle w:val="ListParagraph"/>
        <w:numPr>
          <w:ilvl w:val="0"/>
          <w:numId w:val="16"/>
        </w:numPr>
        <w:spacing w:after="0" w:line="240" w:lineRule="auto"/>
        <w:contextualSpacing/>
        <w:jc w:val="both"/>
        <w:rPr>
          <w:rFonts w:ascii="Times New Roman" w:hAnsi="Times New Roman" w:cs="Times New Roman"/>
          <w:i/>
          <w:iCs/>
          <w:sz w:val="24"/>
          <w:szCs w:val="24"/>
          <w:lang w:val="bg-BG" w:eastAsia="en-US"/>
        </w:rPr>
      </w:pPr>
      <w:r w:rsidRPr="00E81A6E">
        <w:rPr>
          <w:rFonts w:ascii="Times New Roman" w:hAnsi="Times New Roman" w:cs="Times New Roman"/>
          <w:i/>
          <w:iCs/>
          <w:sz w:val="24"/>
          <w:szCs w:val="24"/>
          <w:lang w:val="bg-BG" w:eastAsia="en-US"/>
        </w:rPr>
        <w:t>представителни</w:t>
      </w:r>
      <w:r w:rsidR="00B26384" w:rsidRPr="00E81A6E">
        <w:rPr>
          <w:rFonts w:ascii="Times New Roman" w:hAnsi="Times New Roman" w:cs="Times New Roman"/>
          <w:i/>
          <w:iCs/>
          <w:sz w:val="24"/>
          <w:szCs w:val="24"/>
          <w:lang w:val="bg-BG" w:eastAsia="en-US"/>
        </w:rPr>
        <w:t xml:space="preserve"> </w:t>
      </w:r>
      <w:r w:rsidRPr="00E81A6E">
        <w:rPr>
          <w:rFonts w:ascii="Times New Roman" w:hAnsi="Times New Roman" w:cs="Times New Roman"/>
          <w:i/>
          <w:iCs/>
          <w:sz w:val="24"/>
          <w:szCs w:val="24"/>
          <w:lang w:val="bg-BG" w:eastAsia="en-US"/>
        </w:rPr>
        <w:t xml:space="preserve">разходи в съответствие с чл. </w:t>
      </w:r>
      <w:r w:rsidR="00CF49B1" w:rsidRPr="00E81A6E">
        <w:rPr>
          <w:rFonts w:ascii="Times New Roman" w:hAnsi="Times New Roman" w:cs="Times New Roman"/>
          <w:i/>
          <w:iCs/>
          <w:sz w:val="24"/>
          <w:szCs w:val="24"/>
          <w:lang w:val="bg-BG" w:eastAsia="en-US"/>
        </w:rPr>
        <w:t>92</w:t>
      </w:r>
      <w:r w:rsidRPr="00E81A6E">
        <w:rPr>
          <w:rFonts w:ascii="Times New Roman" w:hAnsi="Times New Roman" w:cs="Times New Roman"/>
          <w:i/>
          <w:iCs/>
          <w:sz w:val="24"/>
          <w:szCs w:val="24"/>
          <w:lang w:val="bg-BG" w:eastAsia="en-US"/>
        </w:rPr>
        <w:t>, ал.2 от</w:t>
      </w:r>
      <w:r w:rsidR="00B26384" w:rsidRPr="00E81A6E">
        <w:rPr>
          <w:rFonts w:ascii="Times New Roman" w:hAnsi="Times New Roman" w:cs="Times New Roman"/>
          <w:i/>
          <w:iCs/>
          <w:sz w:val="24"/>
          <w:szCs w:val="24"/>
          <w:lang w:val="bg-BG" w:eastAsia="en-US"/>
        </w:rPr>
        <w:t xml:space="preserve"> </w:t>
      </w:r>
      <w:r w:rsidRPr="00E81A6E">
        <w:rPr>
          <w:rFonts w:ascii="Times New Roman" w:hAnsi="Times New Roman" w:cs="Times New Roman"/>
          <w:i/>
          <w:iCs/>
          <w:sz w:val="24"/>
          <w:szCs w:val="24"/>
          <w:lang w:val="bg-BG" w:eastAsia="en-US"/>
        </w:rPr>
        <w:t>ЗДБРБ за 20</w:t>
      </w:r>
      <w:r w:rsidR="00A21B27" w:rsidRPr="00E81A6E">
        <w:rPr>
          <w:rFonts w:ascii="Times New Roman" w:hAnsi="Times New Roman" w:cs="Times New Roman"/>
          <w:i/>
          <w:iCs/>
          <w:sz w:val="24"/>
          <w:szCs w:val="24"/>
          <w:lang w:val="bg-BG" w:eastAsia="en-US"/>
        </w:rPr>
        <w:t>2</w:t>
      </w:r>
      <w:r w:rsidR="00CF49B1" w:rsidRPr="00E81A6E">
        <w:rPr>
          <w:rFonts w:ascii="Times New Roman" w:hAnsi="Times New Roman" w:cs="Times New Roman"/>
          <w:i/>
          <w:iCs/>
          <w:sz w:val="24"/>
          <w:szCs w:val="24"/>
          <w:lang w:val="bg-BG" w:eastAsia="en-US"/>
        </w:rPr>
        <w:t>1</w:t>
      </w:r>
      <w:r w:rsidR="00A21B27" w:rsidRPr="00E81A6E">
        <w:rPr>
          <w:rFonts w:ascii="Times New Roman" w:hAnsi="Times New Roman" w:cs="Times New Roman"/>
          <w:i/>
          <w:iCs/>
          <w:sz w:val="24"/>
          <w:szCs w:val="24"/>
          <w:lang w:val="bg-BG" w:eastAsia="en-US"/>
        </w:rPr>
        <w:t>г</w:t>
      </w:r>
      <w:r w:rsidRPr="00E81A6E">
        <w:rPr>
          <w:rFonts w:ascii="Times New Roman" w:hAnsi="Times New Roman" w:cs="Times New Roman"/>
          <w:i/>
          <w:iCs/>
          <w:sz w:val="24"/>
          <w:szCs w:val="24"/>
          <w:lang w:val="bg-BG" w:eastAsia="en-US"/>
        </w:rPr>
        <w:t>. в размер до 1 на сто от общия годишен размер на разходите за издръжка за дейност „Общинска администрация“.</w:t>
      </w:r>
    </w:p>
    <w:p w14:paraId="723FAD8D" w14:textId="77777777" w:rsidR="006F5B92" w:rsidRPr="00E81A6E" w:rsidRDefault="006F5B92" w:rsidP="00350B12">
      <w:pPr>
        <w:pStyle w:val="ListParagraph"/>
        <w:numPr>
          <w:ilvl w:val="0"/>
          <w:numId w:val="16"/>
        </w:numPr>
        <w:spacing w:after="0" w:line="240" w:lineRule="auto"/>
        <w:contextualSpacing/>
        <w:jc w:val="both"/>
        <w:rPr>
          <w:rFonts w:ascii="Times New Roman" w:hAnsi="Times New Roman" w:cs="Times New Roman"/>
          <w:i/>
          <w:iCs/>
          <w:sz w:val="24"/>
          <w:szCs w:val="24"/>
          <w:lang w:val="bg-BG" w:eastAsia="en-US"/>
        </w:rPr>
      </w:pPr>
      <w:r w:rsidRPr="00E81A6E">
        <w:rPr>
          <w:rFonts w:ascii="Times New Roman" w:hAnsi="Times New Roman" w:cs="Times New Roman"/>
          <w:i/>
          <w:iCs/>
          <w:sz w:val="24"/>
          <w:szCs w:val="24"/>
          <w:lang w:val="bg-BG" w:eastAsia="en-US"/>
        </w:rPr>
        <w:t>издръжка дейността на омбудсмана;</w:t>
      </w:r>
    </w:p>
    <w:p w14:paraId="0FF1F363" w14:textId="77777777" w:rsidR="003E3FC6" w:rsidRPr="00E81A6E" w:rsidRDefault="003E3FC6" w:rsidP="003E3FC6">
      <w:pPr>
        <w:pStyle w:val="ListParagraph"/>
        <w:spacing w:after="0" w:line="240" w:lineRule="auto"/>
        <w:ind w:left="1080"/>
        <w:contextualSpacing/>
        <w:jc w:val="both"/>
        <w:rPr>
          <w:rFonts w:ascii="Times New Roman" w:hAnsi="Times New Roman" w:cs="Times New Roman"/>
          <w:i/>
          <w:iCs/>
          <w:sz w:val="24"/>
          <w:szCs w:val="24"/>
          <w:lang w:val="bg-BG" w:eastAsia="en-US"/>
        </w:rPr>
      </w:pPr>
    </w:p>
    <w:p w14:paraId="5012C580"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eastAsia="en-US"/>
        </w:rPr>
      </w:pPr>
      <w:r w:rsidRPr="00E81A6E">
        <w:rPr>
          <w:rFonts w:ascii="Times New Roman" w:hAnsi="Times New Roman" w:cs="Times New Roman"/>
          <w:sz w:val="24"/>
          <w:szCs w:val="24"/>
          <w:lang w:val="bg-BG" w:eastAsia="en-US"/>
        </w:rPr>
        <w:lastRenderedPageBreak/>
        <w:t>За Програма “Европа”са предвидени 450,000</w:t>
      </w:r>
      <w:r w:rsidR="008E5645" w:rsidRPr="00E81A6E">
        <w:rPr>
          <w:rFonts w:ascii="Times New Roman" w:hAnsi="Times New Roman" w:cs="Times New Roman"/>
          <w:sz w:val="24"/>
          <w:szCs w:val="24"/>
          <w:lang w:val="bg-BG" w:eastAsia="en-US"/>
        </w:rPr>
        <w:t xml:space="preserve"> лв.</w:t>
      </w:r>
    </w:p>
    <w:p w14:paraId="7B2FA39A"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eastAsia="en-US"/>
        </w:rPr>
      </w:pPr>
      <w:r w:rsidRPr="00E81A6E">
        <w:rPr>
          <w:rFonts w:ascii="Times New Roman" w:hAnsi="Times New Roman" w:cs="Times New Roman"/>
          <w:sz w:val="24"/>
          <w:szCs w:val="24"/>
          <w:lang w:val="bg-BG" w:eastAsia="en-US"/>
        </w:rPr>
        <w:t xml:space="preserve">Разчетени са средства и за Асоциация за развитие на София в размер на </w:t>
      </w:r>
      <w:r w:rsidR="00FE6E8D" w:rsidRPr="00E81A6E">
        <w:rPr>
          <w:rFonts w:ascii="Times New Roman" w:hAnsi="Times New Roman" w:cs="Times New Roman"/>
          <w:sz w:val="24"/>
          <w:szCs w:val="24"/>
          <w:lang w:val="bg-BG" w:eastAsia="en-US"/>
        </w:rPr>
        <w:t>4</w:t>
      </w:r>
      <w:r w:rsidR="00CF49B1" w:rsidRPr="00E81A6E">
        <w:rPr>
          <w:rFonts w:ascii="Times New Roman" w:hAnsi="Times New Roman" w:cs="Times New Roman"/>
          <w:sz w:val="24"/>
          <w:szCs w:val="24"/>
          <w:lang w:val="bg-BG" w:eastAsia="en-US"/>
        </w:rPr>
        <w:t>7</w:t>
      </w:r>
      <w:r w:rsidR="00FE6E8D" w:rsidRPr="00E81A6E">
        <w:rPr>
          <w:rFonts w:ascii="Times New Roman" w:hAnsi="Times New Roman" w:cs="Times New Roman"/>
          <w:sz w:val="24"/>
          <w:szCs w:val="24"/>
          <w:lang w:val="bg-BG" w:eastAsia="en-US"/>
        </w:rPr>
        <w:t>0</w:t>
      </w:r>
      <w:r w:rsidRPr="00E81A6E">
        <w:rPr>
          <w:rFonts w:ascii="Times New Roman" w:hAnsi="Times New Roman" w:cs="Times New Roman"/>
          <w:sz w:val="24"/>
          <w:szCs w:val="24"/>
          <w:lang w:val="bg-BG" w:eastAsia="en-US"/>
        </w:rPr>
        <w:t>,000</w:t>
      </w:r>
      <w:r w:rsidR="008E5645" w:rsidRPr="00E81A6E">
        <w:rPr>
          <w:rFonts w:ascii="Times New Roman" w:hAnsi="Times New Roman" w:cs="Times New Roman"/>
          <w:sz w:val="24"/>
          <w:szCs w:val="24"/>
          <w:lang w:val="bg-BG" w:eastAsia="en-US"/>
        </w:rPr>
        <w:t xml:space="preserve"> лв.</w:t>
      </w:r>
    </w:p>
    <w:p w14:paraId="6DA43E8F" w14:textId="77777777" w:rsidR="006F5B92" w:rsidRPr="00E81A6E" w:rsidRDefault="00256723"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Разходи за членски внос 2,000</w:t>
      </w:r>
      <w:r w:rsidR="008E5645" w:rsidRPr="00E81A6E">
        <w:rPr>
          <w:rFonts w:ascii="Times New Roman" w:hAnsi="Times New Roman" w:cs="Times New Roman"/>
          <w:sz w:val="24"/>
          <w:szCs w:val="24"/>
          <w:lang w:val="bg-BG" w:eastAsia="en-US"/>
        </w:rPr>
        <w:t xml:space="preserve"> лв.</w:t>
      </w:r>
    </w:p>
    <w:p w14:paraId="5100D847"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eastAsia="en-US"/>
        </w:rPr>
      </w:pPr>
    </w:p>
    <w:p w14:paraId="2875FE07"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sz w:val="24"/>
          <w:szCs w:val="24"/>
          <w:lang w:val="ru-RU"/>
        </w:rPr>
        <w:t xml:space="preserve">За </w:t>
      </w:r>
      <w:r w:rsidRPr="00E81A6E">
        <w:rPr>
          <w:rFonts w:ascii="Times New Roman" w:hAnsi="Times New Roman" w:cs="Times New Roman"/>
          <w:b/>
          <w:sz w:val="24"/>
          <w:szCs w:val="24"/>
          <w:lang w:val="ru-RU"/>
        </w:rPr>
        <w:t>“Общинска администрация”</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 xml:space="preserve">за текущи разходи </w:t>
      </w:r>
      <w:r w:rsidRPr="00E81A6E">
        <w:rPr>
          <w:rFonts w:ascii="Times New Roman" w:hAnsi="Times New Roman" w:cs="Times New Roman"/>
          <w:sz w:val="24"/>
          <w:szCs w:val="24"/>
          <w:lang w:val="ru-RU"/>
        </w:rPr>
        <w:t>са предвидени</w:t>
      </w:r>
      <w:r w:rsidR="00B26384" w:rsidRPr="00E81A6E">
        <w:rPr>
          <w:rFonts w:ascii="Times New Roman" w:hAnsi="Times New Roman" w:cs="Times New Roman"/>
          <w:sz w:val="24"/>
          <w:szCs w:val="24"/>
          <w:lang w:val="bg-BG"/>
        </w:rPr>
        <w:t xml:space="preserve"> </w:t>
      </w:r>
      <w:r w:rsidR="0059589C" w:rsidRPr="00E81A6E">
        <w:rPr>
          <w:rFonts w:ascii="Times New Roman" w:hAnsi="Times New Roman" w:cs="Times New Roman"/>
          <w:b/>
          <w:sz w:val="24"/>
          <w:szCs w:val="24"/>
        </w:rPr>
        <w:t>1</w:t>
      </w:r>
      <w:r w:rsidR="0036576B" w:rsidRPr="00E81A6E">
        <w:rPr>
          <w:rFonts w:ascii="Times New Roman" w:hAnsi="Times New Roman" w:cs="Times New Roman"/>
          <w:b/>
          <w:sz w:val="24"/>
          <w:szCs w:val="24"/>
          <w:lang w:val="bg-BG"/>
        </w:rPr>
        <w:t>11</w:t>
      </w:r>
      <w:r w:rsidRPr="00E81A6E">
        <w:rPr>
          <w:rFonts w:ascii="Times New Roman" w:hAnsi="Times New Roman" w:cs="Times New Roman"/>
          <w:b/>
          <w:bCs/>
          <w:sz w:val="24"/>
          <w:szCs w:val="24"/>
          <w:lang w:val="bg-BG"/>
        </w:rPr>
        <w:t>,</w:t>
      </w:r>
      <w:r w:rsidR="00786657" w:rsidRPr="00E81A6E">
        <w:rPr>
          <w:rFonts w:ascii="Times New Roman" w:hAnsi="Times New Roman" w:cs="Times New Roman"/>
          <w:b/>
          <w:bCs/>
          <w:sz w:val="24"/>
          <w:szCs w:val="24"/>
          <w:lang w:val="bg-BG"/>
        </w:rPr>
        <w:t>52</w:t>
      </w:r>
      <w:r w:rsidR="005E2B72" w:rsidRPr="00E81A6E">
        <w:rPr>
          <w:rFonts w:ascii="Times New Roman" w:hAnsi="Times New Roman" w:cs="Times New Roman"/>
          <w:b/>
          <w:bCs/>
          <w:sz w:val="24"/>
          <w:szCs w:val="24"/>
          <w:lang w:val="bg-BG"/>
        </w:rPr>
        <w:t>5</w:t>
      </w:r>
      <w:r w:rsidRPr="00E81A6E">
        <w:rPr>
          <w:rFonts w:ascii="Times New Roman" w:hAnsi="Times New Roman" w:cs="Times New Roman"/>
          <w:b/>
          <w:bCs/>
          <w:sz w:val="24"/>
          <w:szCs w:val="24"/>
          <w:lang w:val="bg-BG"/>
        </w:rPr>
        <w:t>,</w:t>
      </w:r>
      <w:r w:rsidR="0059589C" w:rsidRPr="00E81A6E">
        <w:rPr>
          <w:rFonts w:ascii="Times New Roman" w:hAnsi="Times New Roman" w:cs="Times New Roman"/>
          <w:b/>
          <w:bCs/>
          <w:sz w:val="24"/>
          <w:szCs w:val="24"/>
        </w:rPr>
        <w:t>6</w:t>
      </w:r>
      <w:r w:rsidR="0036576B" w:rsidRPr="00E81A6E">
        <w:rPr>
          <w:rFonts w:ascii="Times New Roman" w:hAnsi="Times New Roman" w:cs="Times New Roman"/>
          <w:b/>
          <w:bCs/>
          <w:sz w:val="24"/>
          <w:szCs w:val="24"/>
          <w:lang w:val="bg-BG"/>
        </w:rPr>
        <w:t>72</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в</w:t>
      </w:r>
      <w:r w:rsidRPr="00E81A6E">
        <w:rPr>
          <w:rFonts w:ascii="Times New Roman" w:hAnsi="Times New Roman" w:cs="Times New Roman"/>
          <w:sz w:val="24"/>
          <w:szCs w:val="24"/>
          <w:lang w:val="bg-BG"/>
        </w:rPr>
        <w:t xml:space="preserve"> това число</w:t>
      </w:r>
      <w:r w:rsidRPr="00E81A6E">
        <w:rPr>
          <w:rFonts w:ascii="Times New Roman" w:hAnsi="Times New Roman" w:cs="Times New Roman"/>
          <w:sz w:val="24"/>
          <w:szCs w:val="24"/>
          <w:lang w:val="ru-RU"/>
        </w:rPr>
        <w:t>:</w:t>
      </w:r>
    </w:p>
    <w:p w14:paraId="519F0B0A" w14:textId="77777777" w:rsidR="006F5B92" w:rsidRPr="00E81A6E" w:rsidRDefault="006F5B92" w:rsidP="00350B12">
      <w:pPr>
        <w:numPr>
          <w:ilvl w:val="0"/>
          <w:numId w:val="17"/>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за делегирани държавни дейности</w:t>
      </w:r>
      <w:r w:rsidR="00B26384" w:rsidRPr="00E81A6E">
        <w:rPr>
          <w:rFonts w:ascii="Times New Roman" w:hAnsi="Times New Roman" w:cs="Times New Roman"/>
          <w:i/>
          <w:iCs/>
          <w:sz w:val="24"/>
          <w:szCs w:val="24"/>
          <w:lang w:val="ru-RU"/>
        </w:rPr>
        <w:t xml:space="preserve"> </w:t>
      </w:r>
      <w:r w:rsidR="0036576B" w:rsidRPr="00E81A6E">
        <w:rPr>
          <w:rFonts w:ascii="Times New Roman" w:hAnsi="Times New Roman" w:cs="Times New Roman"/>
          <w:i/>
          <w:iCs/>
          <w:sz w:val="24"/>
          <w:szCs w:val="24"/>
          <w:lang w:val="ru-RU"/>
        </w:rPr>
        <w:t>4</w:t>
      </w:r>
      <w:r w:rsidR="004137B7" w:rsidRPr="00E81A6E">
        <w:rPr>
          <w:rFonts w:ascii="Times New Roman" w:hAnsi="Times New Roman" w:cs="Times New Roman"/>
          <w:i/>
          <w:iCs/>
          <w:sz w:val="24"/>
          <w:szCs w:val="24"/>
          <w:lang w:val="ru-RU"/>
        </w:rPr>
        <w:t>4</w:t>
      </w:r>
      <w:r w:rsidRPr="00E81A6E">
        <w:rPr>
          <w:rFonts w:ascii="Times New Roman" w:hAnsi="Times New Roman" w:cs="Times New Roman"/>
          <w:i/>
          <w:iCs/>
          <w:sz w:val="24"/>
          <w:szCs w:val="24"/>
          <w:lang w:val="ru-RU"/>
        </w:rPr>
        <w:t>,</w:t>
      </w:r>
      <w:r w:rsidR="0036576B" w:rsidRPr="00E81A6E">
        <w:rPr>
          <w:rFonts w:ascii="Times New Roman" w:hAnsi="Times New Roman" w:cs="Times New Roman"/>
          <w:i/>
          <w:iCs/>
          <w:sz w:val="24"/>
          <w:szCs w:val="24"/>
          <w:lang w:val="ru-RU"/>
        </w:rPr>
        <w:t>033</w:t>
      </w:r>
      <w:r w:rsidRPr="00E81A6E">
        <w:rPr>
          <w:rFonts w:ascii="Times New Roman" w:hAnsi="Times New Roman" w:cs="Times New Roman"/>
          <w:i/>
          <w:iCs/>
          <w:sz w:val="24"/>
          <w:szCs w:val="24"/>
          <w:lang w:val="ru-RU"/>
        </w:rPr>
        <w:t>,</w:t>
      </w:r>
      <w:r w:rsidR="0036576B" w:rsidRPr="00E81A6E">
        <w:rPr>
          <w:rFonts w:ascii="Times New Roman" w:hAnsi="Times New Roman" w:cs="Times New Roman"/>
          <w:i/>
          <w:iCs/>
          <w:sz w:val="24"/>
          <w:szCs w:val="24"/>
          <w:lang w:val="ru-RU"/>
        </w:rPr>
        <w:t>053</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ru-RU"/>
        </w:rPr>
        <w:t xml:space="preserve">, </w:t>
      </w:r>
    </w:p>
    <w:p w14:paraId="5D7756D2" w14:textId="77777777" w:rsidR="006F5B92" w:rsidRPr="00E81A6E" w:rsidRDefault="006F5B92" w:rsidP="00350B12">
      <w:pPr>
        <w:numPr>
          <w:ilvl w:val="0"/>
          <w:numId w:val="17"/>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дофинансиране на делегирани дейности </w:t>
      </w:r>
      <w:r w:rsidR="009F4CE2" w:rsidRPr="00E81A6E">
        <w:rPr>
          <w:rFonts w:ascii="Times New Roman" w:hAnsi="Times New Roman" w:cs="Times New Roman"/>
          <w:i/>
          <w:iCs/>
          <w:sz w:val="24"/>
          <w:szCs w:val="24"/>
        </w:rPr>
        <w:t>4</w:t>
      </w:r>
      <w:r w:rsidR="0036576B" w:rsidRPr="00E81A6E">
        <w:rPr>
          <w:rFonts w:ascii="Times New Roman" w:hAnsi="Times New Roman" w:cs="Times New Roman"/>
          <w:i/>
          <w:iCs/>
          <w:sz w:val="24"/>
          <w:szCs w:val="24"/>
          <w:lang w:val="bg-BG"/>
        </w:rPr>
        <w:t>7</w:t>
      </w:r>
      <w:r w:rsidRPr="00E81A6E">
        <w:rPr>
          <w:rFonts w:ascii="Times New Roman" w:hAnsi="Times New Roman" w:cs="Times New Roman"/>
          <w:i/>
          <w:iCs/>
          <w:sz w:val="24"/>
          <w:szCs w:val="24"/>
          <w:lang w:val="ru-RU"/>
        </w:rPr>
        <w:t>,</w:t>
      </w:r>
      <w:r w:rsidR="007B6C3D" w:rsidRPr="00E81A6E">
        <w:rPr>
          <w:rFonts w:ascii="Times New Roman" w:hAnsi="Times New Roman" w:cs="Times New Roman"/>
          <w:i/>
          <w:iCs/>
          <w:sz w:val="24"/>
          <w:szCs w:val="24"/>
          <w:lang w:val="ru-RU"/>
        </w:rPr>
        <w:t>500</w:t>
      </w:r>
      <w:r w:rsidRPr="00E81A6E">
        <w:rPr>
          <w:rFonts w:ascii="Times New Roman" w:hAnsi="Times New Roman" w:cs="Times New Roman"/>
          <w:i/>
          <w:iCs/>
          <w:sz w:val="24"/>
          <w:szCs w:val="24"/>
          <w:lang w:val="ru-RU"/>
        </w:rPr>
        <w:t>,</w:t>
      </w:r>
      <w:r w:rsidR="0036576B" w:rsidRPr="00E81A6E">
        <w:rPr>
          <w:rFonts w:ascii="Times New Roman" w:hAnsi="Times New Roman" w:cs="Times New Roman"/>
          <w:i/>
          <w:iCs/>
          <w:sz w:val="24"/>
          <w:szCs w:val="24"/>
          <w:lang w:val="ru-RU"/>
        </w:rPr>
        <w:t>495</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464AAE79" w14:textId="77777777" w:rsidR="006F5B92" w:rsidRPr="00E81A6E" w:rsidRDefault="006F5B92" w:rsidP="00350B12">
      <w:pPr>
        <w:numPr>
          <w:ilvl w:val="0"/>
          <w:numId w:val="17"/>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издръжка – местни дейности </w:t>
      </w:r>
      <w:r w:rsidR="00786657" w:rsidRPr="00E81A6E">
        <w:rPr>
          <w:rFonts w:ascii="Times New Roman" w:hAnsi="Times New Roman" w:cs="Times New Roman"/>
          <w:i/>
          <w:iCs/>
          <w:sz w:val="24"/>
          <w:szCs w:val="24"/>
          <w:lang w:val="ru-RU"/>
        </w:rPr>
        <w:t>19</w:t>
      </w:r>
      <w:r w:rsidRPr="00E81A6E">
        <w:rPr>
          <w:rFonts w:ascii="Times New Roman" w:hAnsi="Times New Roman" w:cs="Times New Roman"/>
          <w:i/>
          <w:iCs/>
          <w:sz w:val="24"/>
          <w:szCs w:val="24"/>
          <w:lang w:val="ru-RU"/>
        </w:rPr>
        <w:t>,</w:t>
      </w:r>
      <w:r w:rsidR="00786657" w:rsidRPr="00E81A6E">
        <w:rPr>
          <w:rFonts w:ascii="Times New Roman" w:hAnsi="Times New Roman" w:cs="Times New Roman"/>
          <w:i/>
          <w:iCs/>
          <w:sz w:val="24"/>
          <w:szCs w:val="24"/>
          <w:lang w:val="ru-RU"/>
        </w:rPr>
        <w:t>992</w:t>
      </w:r>
      <w:r w:rsidRPr="00E81A6E">
        <w:rPr>
          <w:rFonts w:ascii="Times New Roman" w:hAnsi="Times New Roman" w:cs="Times New Roman"/>
          <w:i/>
          <w:iCs/>
          <w:sz w:val="24"/>
          <w:szCs w:val="24"/>
          <w:lang w:val="ru-RU"/>
        </w:rPr>
        <w:t>,</w:t>
      </w:r>
      <w:r w:rsidR="0036576B" w:rsidRPr="00E81A6E">
        <w:rPr>
          <w:rFonts w:ascii="Times New Roman" w:hAnsi="Times New Roman" w:cs="Times New Roman"/>
          <w:i/>
          <w:iCs/>
          <w:sz w:val="24"/>
          <w:szCs w:val="24"/>
          <w:lang w:val="ru-RU"/>
        </w:rPr>
        <w:t>12</w:t>
      </w:r>
      <w:r w:rsidR="0059589C" w:rsidRPr="00E81A6E">
        <w:rPr>
          <w:rFonts w:ascii="Times New Roman" w:hAnsi="Times New Roman" w:cs="Times New Roman"/>
          <w:i/>
          <w:iCs/>
          <w:sz w:val="24"/>
          <w:szCs w:val="24"/>
        </w:rPr>
        <w:t>4</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3A143F49"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ru-RU"/>
        </w:rPr>
      </w:pPr>
    </w:p>
    <w:p w14:paraId="35CC9981"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С</w:t>
      </w:r>
      <w:r w:rsidRPr="00E81A6E">
        <w:rPr>
          <w:rFonts w:ascii="Times New Roman" w:hAnsi="Times New Roman" w:cs="Times New Roman"/>
          <w:sz w:val="24"/>
          <w:szCs w:val="24"/>
          <w:lang w:val="bg-BG"/>
        </w:rPr>
        <w:t xml:space="preserve">редствата за делегираните от държавата дейности, определени съгласно показателите, приети с </w:t>
      </w:r>
      <w:r w:rsidR="004137B7" w:rsidRPr="00E81A6E">
        <w:rPr>
          <w:rFonts w:ascii="Times New Roman" w:hAnsi="Times New Roman" w:cs="Times New Roman"/>
          <w:sz w:val="24"/>
          <w:szCs w:val="24"/>
          <w:lang w:val="bg-BG" w:eastAsia="en-US"/>
        </w:rPr>
        <w:t xml:space="preserve">РМС № </w:t>
      </w:r>
      <w:r w:rsidR="00F17A28" w:rsidRPr="00E81A6E">
        <w:rPr>
          <w:rFonts w:ascii="Times New Roman" w:hAnsi="Times New Roman" w:cs="Times New Roman"/>
          <w:sz w:val="24"/>
          <w:szCs w:val="24"/>
          <w:lang w:eastAsia="en-US"/>
        </w:rPr>
        <w:t>790</w:t>
      </w:r>
      <w:r w:rsidR="004137B7" w:rsidRPr="00E81A6E">
        <w:rPr>
          <w:rFonts w:ascii="Times New Roman" w:hAnsi="Times New Roman" w:cs="Times New Roman"/>
          <w:sz w:val="24"/>
          <w:szCs w:val="24"/>
          <w:lang w:val="bg-BG" w:eastAsia="en-US"/>
        </w:rPr>
        <w:t xml:space="preserve"> от </w:t>
      </w:r>
      <w:r w:rsidR="00F17A28" w:rsidRPr="00E81A6E">
        <w:rPr>
          <w:rFonts w:ascii="Times New Roman" w:hAnsi="Times New Roman" w:cs="Times New Roman"/>
          <w:sz w:val="24"/>
          <w:szCs w:val="24"/>
          <w:lang w:eastAsia="en-US"/>
        </w:rPr>
        <w:t>30</w:t>
      </w:r>
      <w:r w:rsidR="004137B7" w:rsidRPr="00E81A6E">
        <w:rPr>
          <w:rFonts w:ascii="Times New Roman" w:hAnsi="Times New Roman" w:cs="Times New Roman"/>
          <w:sz w:val="24"/>
          <w:szCs w:val="24"/>
          <w:lang w:val="bg-BG" w:eastAsia="en-US"/>
        </w:rPr>
        <w:t>.</w:t>
      </w:r>
      <w:r w:rsidR="00F17A28" w:rsidRPr="00E81A6E">
        <w:rPr>
          <w:rFonts w:ascii="Times New Roman" w:hAnsi="Times New Roman" w:cs="Times New Roman"/>
          <w:sz w:val="24"/>
          <w:szCs w:val="24"/>
          <w:lang w:eastAsia="en-US"/>
        </w:rPr>
        <w:t>10</w:t>
      </w:r>
      <w:r w:rsidR="004137B7" w:rsidRPr="00E81A6E">
        <w:rPr>
          <w:rFonts w:ascii="Times New Roman" w:hAnsi="Times New Roman" w:cs="Times New Roman"/>
          <w:sz w:val="24"/>
          <w:szCs w:val="24"/>
          <w:lang w:val="bg-BG" w:eastAsia="en-US"/>
        </w:rPr>
        <w:t>.20</w:t>
      </w:r>
      <w:r w:rsidR="00F17A28" w:rsidRPr="00E81A6E">
        <w:rPr>
          <w:rFonts w:ascii="Times New Roman" w:hAnsi="Times New Roman" w:cs="Times New Roman"/>
          <w:sz w:val="24"/>
          <w:szCs w:val="24"/>
          <w:lang w:eastAsia="en-US"/>
        </w:rPr>
        <w:t>20</w:t>
      </w:r>
      <w:r w:rsidR="004137B7" w:rsidRPr="00E81A6E">
        <w:rPr>
          <w:rFonts w:ascii="Times New Roman" w:hAnsi="Times New Roman" w:cs="Times New Roman"/>
          <w:sz w:val="24"/>
          <w:szCs w:val="24"/>
          <w:lang w:val="bg-BG" w:eastAsia="en-US"/>
        </w:rPr>
        <w:t xml:space="preserve">г. </w:t>
      </w:r>
      <w:r w:rsidRPr="00E81A6E">
        <w:rPr>
          <w:rFonts w:ascii="Times New Roman" w:hAnsi="Times New Roman" w:cs="Times New Roman"/>
          <w:sz w:val="24"/>
          <w:szCs w:val="24"/>
          <w:lang w:val="bg-BG"/>
        </w:rPr>
        <w:t>за приемане на стандарти за делегираните от държавата дейности</w:t>
      </w:r>
      <w:r w:rsidR="00F17A28" w:rsidRPr="00E81A6E">
        <w:rPr>
          <w:rFonts w:ascii="Times New Roman" w:hAnsi="Times New Roman" w:cs="Times New Roman"/>
          <w:sz w:val="24"/>
          <w:szCs w:val="24"/>
        </w:rPr>
        <w:t xml:space="preserve"> </w:t>
      </w:r>
      <w:r w:rsidRPr="00E81A6E">
        <w:rPr>
          <w:rFonts w:ascii="Times New Roman" w:hAnsi="Times New Roman" w:cs="Times New Roman"/>
          <w:sz w:val="24"/>
          <w:szCs w:val="24"/>
          <w:lang w:val="bg-BG"/>
        </w:rPr>
        <w:t>с натурални и стойностни показатели</w:t>
      </w:r>
      <w:r w:rsidR="00F17A28" w:rsidRPr="00E81A6E">
        <w:rPr>
          <w:rFonts w:ascii="Times New Roman" w:hAnsi="Times New Roman" w:cs="Times New Roman"/>
          <w:sz w:val="24"/>
          <w:szCs w:val="24"/>
        </w:rPr>
        <w:t xml:space="preserve"> </w:t>
      </w:r>
      <w:r w:rsidR="00F17A28" w:rsidRPr="00E81A6E">
        <w:rPr>
          <w:rFonts w:ascii="Times New Roman" w:hAnsi="Times New Roman" w:cs="Times New Roman"/>
          <w:sz w:val="24"/>
          <w:szCs w:val="24"/>
          <w:lang w:val="bg-BG"/>
        </w:rPr>
        <w:t>за 2021г.</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w:t>
      </w:r>
      <w:r w:rsidR="00F17A28" w:rsidRPr="00E81A6E">
        <w:rPr>
          <w:rFonts w:ascii="Times New Roman" w:hAnsi="Times New Roman" w:cs="Times New Roman"/>
          <w:sz w:val="24"/>
          <w:szCs w:val="24"/>
          <w:lang w:val="ru-RU"/>
        </w:rPr>
        <w:t xml:space="preserve">са </w:t>
      </w:r>
      <w:r w:rsidRPr="00E81A6E">
        <w:rPr>
          <w:rFonts w:ascii="Times New Roman" w:hAnsi="Times New Roman" w:cs="Times New Roman"/>
          <w:sz w:val="24"/>
          <w:szCs w:val="24"/>
          <w:lang w:val="bg-BG"/>
        </w:rPr>
        <w:t>предназначени за</w:t>
      </w:r>
      <w:r w:rsidR="00CA40E3" w:rsidRPr="00E81A6E">
        <w:rPr>
          <w:rFonts w:ascii="Times New Roman" w:hAnsi="Times New Roman" w:cs="Times New Roman"/>
          <w:sz w:val="24"/>
          <w:szCs w:val="24"/>
          <w:lang w:val="bg-BG"/>
        </w:rPr>
        <w:t xml:space="preserve"> </w:t>
      </w:r>
      <w:r w:rsidR="00096C21" w:rsidRPr="00E81A6E">
        <w:rPr>
          <w:rFonts w:ascii="Times New Roman" w:hAnsi="Times New Roman" w:cs="Times New Roman"/>
          <w:sz w:val="24"/>
          <w:szCs w:val="24"/>
          <w:lang w:val="bg-BG"/>
        </w:rPr>
        <w:t>о</w:t>
      </w:r>
      <w:r w:rsidR="00096C21" w:rsidRPr="00E81A6E">
        <w:rPr>
          <w:rFonts w:ascii="Times New Roman" w:hAnsi="Times New Roman" w:cs="Times New Roman"/>
          <w:sz w:val="24"/>
          <w:szCs w:val="24"/>
          <w:lang w:val="bg-BG" w:eastAsia="bg-BG"/>
        </w:rPr>
        <w:t xml:space="preserve">бщинска администрация - заплати, други възнаграждения и плащания за персонала и задължителни осигурителни вноски от работодатели на лицата по трудови, извънтрудови и служебни правоотношения. </w:t>
      </w:r>
      <w:r w:rsidR="00F17A28" w:rsidRPr="00E81A6E">
        <w:rPr>
          <w:rFonts w:ascii="Times New Roman" w:hAnsi="Times New Roman" w:cs="Times New Roman"/>
          <w:sz w:val="24"/>
          <w:szCs w:val="24"/>
          <w:lang w:val="bg-BG" w:eastAsia="bg-BG"/>
        </w:rPr>
        <w:t>Общинският съвет</w:t>
      </w:r>
      <w:r w:rsidR="00A66331" w:rsidRPr="00E81A6E">
        <w:rPr>
          <w:rFonts w:ascii="Times New Roman" w:hAnsi="Times New Roman" w:cs="Times New Roman"/>
          <w:sz w:val="24"/>
          <w:szCs w:val="24"/>
          <w:lang w:val="bg-BG" w:eastAsia="bg-BG"/>
        </w:rPr>
        <w:t>,</w:t>
      </w:r>
      <w:r w:rsidR="00F17A28" w:rsidRPr="00E81A6E">
        <w:rPr>
          <w:rFonts w:ascii="Times New Roman" w:hAnsi="Times New Roman" w:cs="Times New Roman"/>
          <w:sz w:val="24"/>
          <w:szCs w:val="24"/>
          <w:lang w:val="bg-BG" w:eastAsia="bg-BG"/>
        </w:rPr>
        <w:t xml:space="preserve"> по предложение на кмета на общината</w:t>
      </w:r>
      <w:r w:rsidR="00A66331" w:rsidRPr="00E81A6E">
        <w:rPr>
          <w:rFonts w:ascii="Times New Roman" w:hAnsi="Times New Roman" w:cs="Times New Roman"/>
          <w:sz w:val="24"/>
          <w:szCs w:val="24"/>
          <w:lang w:val="bg-BG" w:eastAsia="bg-BG"/>
        </w:rPr>
        <w:t>,</w:t>
      </w:r>
      <w:r w:rsidR="00F17A28" w:rsidRPr="00E81A6E">
        <w:rPr>
          <w:rFonts w:ascii="Times New Roman" w:hAnsi="Times New Roman" w:cs="Times New Roman"/>
          <w:sz w:val="24"/>
          <w:szCs w:val="24"/>
          <w:lang w:val="bg-BG" w:eastAsia="bg-BG"/>
        </w:rPr>
        <w:t xml:space="preserve"> определя числеността на персонала за делегираната от държавата дейност „Общинска администрация” в рамките на средств</w:t>
      </w:r>
      <w:r w:rsidR="00A66331" w:rsidRPr="00E81A6E">
        <w:rPr>
          <w:rFonts w:ascii="Times New Roman" w:hAnsi="Times New Roman" w:cs="Times New Roman"/>
          <w:sz w:val="24"/>
          <w:szCs w:val="24"/>
          <w:lang w:val="bg-BG" w:eastAsia="bg-BG"/>
        </w:rPr>
        <w:t>ата, определени по стандартите.</w:t>
      </w:r>
      <w:r w:rsidR="00F17A28" w:rsidRPr="00E81A6E">
        <w:rPr>
          <w:rFonts w:ascii="Times New Roman" w:hAnsi="Times New Roman" w:cs="Times New Roman"/>
          <w:sz w:val="24"/>
          <w:szCs w:val="24"/>
          <w:lang w:val="bg-BG"/>
        </w:rPr>
        <w:t xml:space="preserve"> </w:t>
      </w:r>
    </w:p>
    <w:p w14:paraId="0529B65E"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Съгласно структурата на общинската администрация на Столична община</w:t>
      </w:r>
      <w:r w:rsidR="00D06664" w:rsidRPr="00E81A6E">
        <w:rPr>
          <w:rFonts w:ascii="Times New Roman" w:hAnsi="Times New Roman" w:cs="Times New Roman"/>
          <w:sz w:val="24"/>
          <w:szCs w:val="24"/>
          <w:lang w:val="bg-BG"/>
        </w:rPr>
        <w:t xml:space="preserve"> и районите</w:t>
      </w:r>
      <w:r w:rsidRPr="00E81A6E">
        <w:rPr>
          <w:rFonts w:ascii="Times New Roman" w:hAnsi="Times New Roman" w:cs="Times New Roman"/>
          <w:sz w:val="24"/>
          <w:szCs w:val="24"/>
          <w:lang w:val="bg-BG"/>
        </w:rPr>
        <w:t>,</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 xml:space="preserve">общата численост на персонала е 2008 щатни бройки </w:t>
      </w:r>
      <w:r w:rsidR="007B6C3D" w:rsidRPr="00E81A6E">
        <w:rPr>
          <w:rFonts w:ascii="Times New Roman" w:hAnsi="Times New Roman" w:cs="Times New Roman"/>
          <w:sz w:val="24"/>
          <w:szCs w:val="24"/>
          <w:lang w:val="bg-BG"/>
        </w:rPr>
        <w:t xml:space="preserve">в </w:t>
      </w:r>
      <w:r w:rsidRPr="00E81A6E">
        <w:rPr>
          <w:rFonts w:ascii="Times New Roman" w:hAnsi="Times New Roman" w:cs="Times New Roman"/>
          <w:sz w:val="24"/>
          <w:szCs w:val="24"/>
          <w:lang w:val="bg-BG"/>
        </w:rPr>
        <w:t>делегирана държавна отговорност и 6</w:t>
      </w:r>
      <w:r w:rsidR="00CF49B1" w:rsidRPr="00E81A6E">
        <w:rPr>
          <w:rFonts w:ascii="Times New Roman" w:hAnsi="Times New Roman" w:cs="Times New Roman"/>
          <w:sz w:val="24"/>
          <w:szCs w:val="24"/>
          <w:lang w:val="bg-BG"/>
        </w:rPr>
        <w:t>94</w:t>
      </w:r>
      <w:r w:rsidRPr="00E81A6E">
        <w:rPr>
          <w:rFonts w:ascii="Times New Roman" w:hAnsi="Times New Roman" w:cs="Times New Roman"/>
          <w:sz w:val="24"/>
          <w:szCs w:val="24"/>
          <w:lang w:val="bg-BG"/>
        </w:rPr>
        <w:t xml:space="preserve"> щатни бройки </w:t>
      </w:r>
      <w:r w:rsidR="007B6C3D" w:rsidRPr="00E81A6E">
        <w:rPr>
          <w:rFonts w:ascii="Times New Roman" w:hAnsi="Times New Roman" w:cs="Times New Roman"/>
          <w:sz w:val="24"/>
          <w:szCs w:val="24"/>
          <w:lang w:val="bg-BG"/>
        </w:rPr>
        <w:t xml:space="preserve">в </w:t>
      </w:r>
      <w:r w:rsidRPr="00E81A6E">
        <w:rPr>
          <w:rFonts w:ascii="Times New Roman" w:hAnsi="Times New Roman" w:cs="Times New Roman"/>
          <w:sz w:val="24"/>
          <w:szCs w:val="24"/>
          <w:lang w:val="bg-BG"/>
        </w:rPr>
        <w:t>дофинансиране.</w:t>
      </w:r>
    </w:p>
    <w:p w14:paraId="2C45F916"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 дейността се разчита бюджет за данък сгради на обектите - общинска собственост; разходите, произтичащи от Закона за здравословни и безопасни условия на труд /чл.25/; разходите за представителни цели</w:t>
      </w:r>
      <w:r w:rsidRPr="00E81A6E">
        <w:rPr>
          <w:rFonts w:ascii="Times New Roman" w:hAnsi="Times New Roman" w:cs="Times New Roman"/>
          <w:sz w:val="24"/>
          <w:szCs w:val="24"/>
          <w:lang w:val="bg-BG"/>
        </w:rPr>
        <w:t xml:space="preserve"> – до 2 на сто от общия размер на разходите за издръжка на дейността /</w:t>
      </w:r>
      <w:r w:rsidRPr="00E81A6E">
        <w:rPr>
          <w:rFonts w:ascii="Times New Roman" w:hAnsi="Times New Roman" w:cs="Times New Roman"/>
          <w:sz w:val="24"/>
          <w:szCs w:val="24"/>
          <w:lang w:val="bg-BG" w:eastAsia="en-US"/>
        </w:rPr>
        <w:t xml:space="preserve">чл. </w:t>
      </w:r>
      <w:r w:rsidR="00AD5686" w:rsidRPr="00E81A6E">
        <w:rPr>
          <w:rFonts w:ascii="Times New Roman" w:hAnsi="Times New Roman" w:cs="Times New Roman"/>
          <w:sz w:val="24"/>
          <w:szCs w:val="24"/>
          <w:lang w:val="bg-BG" w:eastAsia="en-US"/>
        </w:rPr>
        <w:t>92</w:t>
      </w:r>
      <w:r w:rsidRPr="00E81A6E">
        <w:rPr>
          <w:rFonts w:ascii="Times New Roman" w:hAnsi="Times New Roman" w:cs="Times New Roman"/>
          <w:sz w:val="24"/>
          <w:szCs w:val="24"/>
          <w:lang w:val="bg-BG" w:eastAsia="en-US"/>
        </w:rPr>
        <w:t>, ал.1 от ЗДБРБ за 20</w:t>
      </w:r>
      <w:r w:rsidR="00505306" w:rsidRPr="00E81A6E">
        <w:rPr>
          <w:rFonts w:ascii="Times New Roman" w:hAnsi="Times New Roman" w:cs="Times New Roman"/>
          <w:sz w:val="24"/>
          <w:szCs w:val="24"/>
          <w:lang w:val="bg-BG" w:eastAsia="en-US"/>
        </w:rPr>
        <w:t>2</w:t>
      </w:r>
      <w:r w:rsidR="00A66331" w:rsidRPr="00E81A6E">
        <w:rPr>
          <w:rFonts w:ascii="Times New Roman" w:hAnsi="Times New Roman" w:cs="Times New Roman"/>
          <w:sz w:val="24"/>
          <w:szCs w:val="24"/>
          <w:lang w:val="bg-BG" w:eastAsia="en-US"/>
        </w:rPr>
        <w:t>1</w:t>
      </w:r>
      <w:r w:rsidRPr="00E81A6E">
        <w:rPr>
          <w:rFonts w:ascii="Times New Roman" w:hAnsi="Times New Roman" w:cs="Times New Roman"/>
          <w:sz w:val="24"/>
          <w:szCs w:val="24"/>
          <w:lang w:val="bg-BG" w:eastAsia="en-US"/>
        </w:rPr>
        <w:t>г./</w:t>
      </w:r>
      <w:r w:rsidRPr="00E81A6E">
        <w:rPr>
          <w:rFonts w:ascii="Times New Roman" w:hAnsi="Times New Roman" w:cs="Times New Roman"/>
          <w:sz w:val="24"/>
          <w:szCs w:val="24"/>
          <w:lang w:val="ru-RU"/>
        </w:rPr>
        <w:t xml:space="preserve">; за канцеларски материали, поддръжка на техниката и всички веществени разходи по издръжка на сградите, в които се помещава общинската администрация, включително и на районите; </w:t>
      </w:r>
    </w:p>
    <w:p w14:paraId="137178AB"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 бюджета на Направление „Архитектура и градоустройство“</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са разчетени </w:t>
      </w:r>
      <w:r w:rsidRPr="00E81A6E">
        <w:rPr>
          <w:rFonts w:ascii="Times New Roman" w:hAnsi="Times New Roman" w:cs="Times New Roman"/>
          <w:sz w:val="24"/>
          <w:szCs w:val="24"/>
          <w:lang w:val="bg-BG"/>
        </w:rPr>
        <w:t xml:space="preserve">целеви </w:t>
      </w:r>
      <w:r w:rsidR="00626B74" w:rsidRPr="00E81A6E">
        <w:rPr>
          <w:rFonts w:ascii="Times New Roman" w:hAnsi="Times New Roman" w:cs="Times New Roman"/>
          <w:sz w:val="24"/>
          <w:szCs w:val="24"/>
          <w:lang w:val="ru-RU"/>
        </w:rPr>
        <w:t xml:space="preserve">средства </w:t>
      </w:r>
      <w:r w:rsidR="00AD5686" w:rsidRPr="00E81A6E">
        <w:rPr>
          <w:rFonts w:ascii="Times New Roman" w:hAnsi="Times New Roman" w:cs="Times New Roman"/>
          <w:sz w:val="24"/>
          <w:szCs w:val="24"/>
          <w:lang w:val="ru-RU"/>
        </w:rPr>
        <w:t xml:space="preserve">за награден фонд за конкурс за </w:t>
      </w:r>
      <w:r w:rsidR="00926F0D" w:rsidRPr="00E81A6E">
        <w:rPr>
          <w:rFonts w:ascii="Times New Roman" w:hAnsi="Times New Roman" w:cs="Times New Roman"/>
          <w:sz w:val="24"/>
          <w:szCs w:val="24"/>
          <w:lang w:val="ru-RU"/>
        </w:rPr>
        <w:t xml:space="preserve">изготвяне на инвестиционен проект за преустройство на северното крило на </w:t>
      </w:r>
      <w:r w:rsidR="00AD5686" w:rsidRPr="00E81A6E">
        <w:rPr>
          <w:rFonts w:ascii="Times New Roman" w:hAnsi="Times New Roman" w:cs="Times New Roman"/>
          <w:sz w:val="24"/>
          <w:szCs w:val="24"/>
          <w:lang w:val="ru-RU"/>
        </w:rPr>
        <w:t xml:space="preserve">Централна минерална баня и за </w:t>
      </w:r>
      <w:r w:rsidR="00926F0D" w:rsidRPr="00E81A6E">
        <w:rPr>
          <w:rFonts w:ascii="Times New Roman" w:hAnsi="Times New Roman" w:cs="Times New Roman"/>
          <w:sz w:val="24"/>
          <w:szCs w:val="24"/>
          <w:lang w:val="ru-RU"/>
        </w:rPr>
        <w:t>изработване на инвестиционни проекти за подобряване на г</w:t>
      </w:r>
      <w:r w:rsidR="00AD5686" w:rsidRPr="00E81A6E">
        <w:rPr>
          <w:rFonts w:ascii="Times New Roman" w:hAnsi="Times New Roman" w:cs="Times New Roman"/>
          <w:sz w:val="24"/>
          <w:szCs w:val="24"/>
          <w:lang w:val="ru-RU"/>
        </w:rPr>
        <w:t>радска</w:t>
      </w:r>
      <w:r w:rsidR="00926F0D" w:rsidRPr="00E81A6E">
        <w:rPr>
          <w:rFonts w:ascii="Times New Roman" w:hAnsi="Times New Roman" w:cs="Times New Roman"/>
          <w:sz w:val="24"/>
          <w:szCs w:val="24"/>
          <w:lang w:val="ru-RU"/>
        </w:rPr>
        <w:t xml:space="preserve">та </w:t>
      </w:r>
      <w:r w:rsidR="00AD5686" w:rsidRPr="00E81A6E">
        <w:rPr>
          <w:rFonts w:ascii="Times New Roman" w:hAnsi="Times New Roman" w:cs="Times New Roman"/>
          <w:sz w:val="24"/>
          <w:szCs w:val="24"/>
          <w:lang w:val="ru-RU"/>
        </w:rPr>
        <w:t>среда</w:t>
      </w:r>
      <w:r w:rsidR="00926F0D" w:rsidRPr="00E81A6E">
        <w:rPr>
          <w:rFonts w:ascii="Times New Roman" w:hAnsi="Times New Roman" w:cs="Times New Roman"/>
          <w:sz w:val="24"/>
          <w:szCs w:val="24"/>
          <w:lang w:val="ru-RU"/>
        </w:rPr>
        <w:t xml:space="preserve"> – Зелен ринг, пешеходни връзки и др</w:t>
      </w:r>
      <w:r w:rsidRPr="00E81A6E">
        <w:rPr>
          <w:rFonts w:ascii="Times New Roman" w:hAnsi="Times New Roman" w:cs="Times New Roman"/>
          <w:sz w:val="24"/>
          <w:szCs w:val="24"/>
          <w:lang w:val="ru-RU"/>
        </w:rPr>
        <w:t>.</w:t>
      </w:r>
      <w:r w:rsidR="00926F0D" w:rsidRPr="00E81A6E">
        <w:rPr>
          <w:rFonts w:ascii="Times New Roman" w:hAnsi="Times New Roman" w:cs="Times New Roman"/>
          <w:sz w:val="24"/>
          <w:szCs w:val="24"/>
          <w:lang w:val="ru-RU"/>
        </w:rPr>
        <w:t>, както и за прединвестиционно проучване за из</w:t>
      </w:r>
      <w:r w:rsidR="005E2B72" w:rsidRPr="00E81A6E">
        <w:rPr>
          <w:rFonts w:ascii="Times New Roman" w:hAnsi="Times New Roman" w:cs="Times New Roman"/>
          <w:sz w:val="24"/>
          <w:szCs w:val="24"/>
          <w:lang w:val="ru-RU"/>
        </w:rPr>
        <w:t>с</w:t>
      </w:r>
      <w:r w:rsidR="00926F0D" w:rsidRPr="00E81A6E">
        <w:rPr>
          <w:rFonts w:ascii="Times New Roman" w:hAnsi="Times New Roman" w:cs="Times New Roman"/>
          <w:sz w:val="24"/>
          <w:szCs w:val="24"/>
          <w:lang w:val="ru-RU"/>
        </w:rPr>
        <w:t>ледването на язовир «Огняново» за питейно-битово водоснабдяване.</w:t>
      </w:r>
    </w:p>
    <w:p w14:paraId="032EEA07" w14:textId="77777777" w:rsidR="007A79FB" w:rsidRPr="00E81A6E" w:rsidRDefault="00A639A3" w:rsidP="00F55B06">
      <w:pPr>
        <w:shd w:val="clear" w:color="auto" w:fill="FFFFFF"/>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pacing w:val="-1"/>
          <w:sz w:val="24"/>
          <w:szCs w:val="24"/>
          <w:lang w:val="bg-BG"/>
        </w:rPr>
        <w:t>С</w:t>
      </w:r>
      <w:r w:rsidR="007A79FB" w:rsidRPr="00E81A6E">
        <w:rPr>
          <w:rFonts w:ascii="Times New Roman" w:hAnsi="Times New Roman" w:cs="Times New Roman"/>
          <w:spacing w:val="-1"/>
          <w:sz w:val="24"/>
          <w:szCs w:val="24"/>
          <w:lang w:val="bg-BG"/>
        </w:rPr>
        <w:t xml:space="preserve"> ДВ, бр. 107 от 2020 г. са приети изменения и допълнения </w:t>
      </w:r>
      <w:r w:rsidR="007A79FB" w:rsidRPr="00E81A6E">
        <w:rPr>
          <w:rFonts w:ascii="Times New Roman" w:hAnsi="Times New Roman" w:cs="Times New Roman"/>
          <w:sz w:val="24"/>
          <w:szCs w:val="24"/>
          <w:lang w:val="bg-BG"/>
        </w:rPr>
        <w:t>в чл. 21, 44 и 52 на Закона за местното самоуправление и местната администрация (ЗМСМА), съгласно които общинският съвет</w:t>
      </w:r>
      <w:r w:rsidRPr="00E81A6E">
        <w:rPr>
          <w:rFonts w:ascii="Times New Roman" w:hAnsi="Times New Roman" w:cs="Times New Roman"/>
          <w:sz w:val="24"/>
          <w:szCs w:val="24"/>
          <w:lang w:val="bg-BG"/>
        </w:rPr>
        <w:t>,</w:t>
      </w:r>
      <w:r w:rsidR="007A79FB" w:rsidRPr="00E81A6E">
        <w:rPr>
          <w:rFonts w:ascii="Times New Roman" w:hAnsi="Times New Roman" w:cs="Times New Roman"/>
          <w:sz w:val="24"/>
          <w:szCs w:val="24"/>
          <w:lang w:val="bg-BG"/>
        </w:rPr>
        <w:t xml:space="preserve"> по предложение на кмета на общината</w:t>
      </w:r>
      <w:r w:rsidRPr="00E81A6E">
        <w:rPr>
          <w:rFonts w:ascii="Times New Roman" w:hAnsi="Times New Roman" w:cs="Times New Roman"/>
          <w:sz w:val="24"/>
          <w:szCs w:val="24"/>
          <w:lang w:val="bg-BG"/>
        </w:rPr>
        <w:t>,</w:t>
      </w:r>
      <w:r w:rsidR="007A79FB" w:rsidRPr="00E81A6E">
        <w:rPr>
          <w:rFonts w:ascii="Times New Roman" w:hAnsi="Times New Roman" w:cs="Times New Roman"/>
          <w:sz w:val="24"/>
          <w:szCs w:val="24"/>
          <w:lang w:val="bg-BG"/>
        </w:rPr>
        <w:t xml:space="preserve"> утвърждава показателите </w:t>
      </w:r>
      <w:r w:rsidR="00A627A4" w:rsidRPr="00E81A6E">
        <w:rPr>
          <w:rFonts w:ascii="Times New Roman" w:hAnsi="Times New Roman" w:cs="Times New Roman"/>
          <w:sz w:val="24"/>
          <w:szCs w:val="24"/>
          <w:lang w:val="bg-BG"/>
        </w:rPr>
        <w:t xml:space="preserve">за разходи </w:t>
      </w:r>
      <w:r w:rsidR="007A79FB" w:rsidRPr="00E81A6E">
        <w:rPr>
          <w:rFonts w:ascii="Times New Roman" w:hAnsi="Times New Roman" w:cs="Times New Roman"/>
          <w:sz w:val="24"/>
          <w:szCs w:val="24"/>
          <w:lang w:val="bg-BG"/>
        </w:rPr>
        <w:t xml:space="preserve">по чл. 45, ал. 1, т. 2 от ЗПФ за районите, кметствата и </w:t>
      </w:r>
      <w:r w:rsidR="007A79FB" w:rsidRPr="00E81A6E">
        <w:rPr>
          <w:rFonts w:ascii="Times New Roman" w:hAnsi="Times New Roman" w:cs="Times New Roman"/>
          <w:spacing w:val="-2"/>
          <w:sz w:val="24"/>
          <w:szCs w:val="24"/>
          <w:lang w:val="bg-BG"/>
        </w:rPr>
        <w:t xml:space="preserve">населените места с кметски наместници, с изключение на тези, които са определени като </w:t>
      </w:r>
      <w:r w:rsidR="007A79FB" w:rsidRPr="00E81A6E">
        <w:rPr>
          <w:rFonts w:ascii="Times New Roman" w:hAnsi="Times New Roman" w:cs="Times New Roman"/>
          <w:sz w:val="24"/>
          <w:szCs w:val="24"/>
          <w:lang w:val="bg-BG"/>
        </w:rPr>
        <w:t xml:space="preserve">второстепенни разпоредители с бюджет по реда на чл. 11. ал. 10 от ЗПФ, като кметът организира изпълнението на общинския бюджет, включително своевременното изпълнение на утвърдените от общинския съвет показатели за районите, кметствата и населените места с кметски наместници. </w:t>
      </w:r>
      <w:r w:rsidR="007A79FB" w:rsidRPr="00E81A6E">
        <w:rPr>
          <w:rFonts w:ascii="Times New Roman" w:hAnsi="Times New Roman" w:cs="Times New Roman"/>
          <w:sz w:val="24"/>
          <w:szCs w:val="24"/>
          <w:u w:val="single"/>
          <w:lang w:val="bg-BG"/>
        </w:rPr>
        <w:t>Показателите за разходи</w:t>
      </w:r>
      <w:r w:rsidR="007A79FB" w:rsidRPr="00E81A6E">
        <w:rPr>
          <w:rFonts w:ascii="Times New Roman" w:hAnsi="Times New Roman" w:cs="Times New Roman"/>
          <w:sz w:val="24"/>
          <w:szCs w:val="24"/>
          <w:lang w:val="bg-BG"/>
        </w:rPr>
        <w:t xml:space="preserve"> по чл. 45, ал. 1.т, 2. букви "а" - "д" от ЗПФ </w:t>
      </w:r>
      <w:r w:rsidR="007A79FB" w:rsidRPr="00E81A6E">
        <w:rPr>
          <w:rFonts w:ascii="Times New Roman" w:hAnsi="Times New Roman" w:cs="Times New Roman"/>
          <w:sz w:val="24"/>
          <w:szCs w:val="24"/>
          <w:u w:val="single"/>
          <w:lang w:val="bg-BG"/>
        </w:rPr>
        <w:t>се определят въз основа на обективни критерии, определени с наредбата по чл. 82, ал. 1 от същия закон</w:t>
      </w:r>
      <w:r w:rsidR="007A79FB" w:rsidRPr="00E81A6E">
        <w:rPr>
          <w:rFonts w:ascii="Times New Roman" w:hAnsi="Times New Roman" w:cs="Times New Roman"/>
          <w:sz w:val="24"/>
          <w:szCs w:val="24"/>
          <w:lang w:val="bg-BG"/>
        </w:rPr>
        <w:t xml:space="preserve">, а капиталовите разходи по чл. 45, ал. 1, т. 2, буква "е" от ЗПФ се определят въз основа на актуални данни за състоянието на социалната и техническата инфраструктура в района или в населеното място, изготвени от звеното по устройство на територията, съвместно с кмета на района, с кмета на кметството или </w:t>
      </w:r>
      <w:r w:rsidR="007A79FB" w:rsidRPr="00E81A6E">
        <w:rPr>
          <w:rFonts w:ascii="Times New Roman" w:hAnsi="Times New Roman" w:cs="Times New Roman"/>
          <w:sz w:val="24"/>
          <w:szCs w:val="24"/>
          <w:lang w:val="bg-BG"/>
        </w:rPr>
        <w:lastRenderedPageBreak/>
        <w:t xml:space="preserve">с кметския наместник, като се вземат предвид и проектите, които се </w:t>
      </w:r>
      <w:r w:rsidR="007A79FB" w:rsidRPr="00E81A6E">
        <w:rPr>
          <w:rFonts w:ascii="Times New Roman" w:hAnsi="Times New Roman" w:cs="Times New Roman"/>
          <w:spacing w:val="-1"/>
          <w:sz w:val="24"/>
          <w:szCs w:val="24"/>
          <w:lang w:val="bg-BG"/>
        </w:rPr>
        <w:t xml:space="preserve">изпълняват със средства от Европейския съюз. Съгласно разпоредбата на чл. 52, ал. 5 от </w:t>
      </w:r>
      <w:r w:rsidR="007A79FB" w:rsidRPr="00E81A6E">
        <w:rPr>
          <w:rFonts w:ascii="Times New Roman" w:hAnsi="Times New Roman" w:cs="Times New Roman"/>
          <w:sz w:val="24"/>
          <w:szCs w:val="24"/>
          <w:lang w:val="bg-BG"/>
        </w:rPr>
        <w:t xml:space="preserve">ЗМСМА при отдаването под наем, под аренда, при ползването на дървесина и недървесни горски продукти и при разпореждане с имоти и вещи - общинска собственост, които се намират на територията на дадено населено място извън територията на общинския център, извън случаите на приватизация, с </w:t>
      </w:r>
      <w:r w:rsidR="007A79FB" w:rsidRPr="00E81A6E">
        <w:rPr>
          <w:rFonts w:ascii="Times New Roman" w:hAnsi="Times New Roman" w:cs="Times New Roman"/>
          <w:sz w:val="24"/>
          <w:szCs w:val="24"/>
          <w:u w:val="single"/>
          <w:lang w:val="bg-BG"/>
        </w:rPr>
        <w:t xml:space="preserve">решението </w:t>
      </w:r>
      <w:r w:rsidR="00CB54CF" w:rsidRPr="00E81A6E">
        <w:rPr>
          <w:rFonts w:ascii="Times New Roman" w:hAnsi="Times New Roman" w:cs="Times New Roman"/>
          <w:sz w:val="24"/>
          <w:szCs w:val="24"/>
          <w:u w:val="single"/>
          <w:lang w:val="bg-BG"/>
        </w:rPr>
        <w:t xml:space="preserve">за приемане на бюджета, </w:t>
      </w:r>
      <w:r w:rsidR="00675D92" w:rsidRPr="00E81A6E">
        <w:rPr>
          <w:rFonts w:ascii="Times New Roman" w:hAnsi="Times New Roman" w:cs="Times New Roman"/>
          <w:sz w:val="24"/>
          <w:szCs w:val="24"/>
          <w:u w:val="single"/>
          <w:lang w:val="bg-BG"/>
        </w:rPr>
        <w:t>съгласно</w:t>
      </w:r>
      <w:r w:rsidR="007A79FB" w:rsidRPr="00E81A6E">
        <w:rPr>
          <w:rFonts w:ascii="Times New Roman" w:hAnsi="Times New Roman" w:cs="Times New Roman"/>
          <w:sz w:val="24"/>
          <w:szCs w:val="24"/>
          <w:u w:val="single"/>
          <w:lang w:val="bg-BG"/>
        </w:rPr>
        <w:t xml:space="preserve"> чл. 21, ал. 1, т. 8</w:t>
      </w:r>
      <w:r w:rsidR="00675D92" w:rsidRPr="00E81A6E">
        <w:rPr>
          <w:rFonts w:ascii="Times New Roman" w:hAnsi="Times New Roman" w:cs="Times New Roman"/>
          <w:sz w:val="24"/>
          <w:szCs w:val="24"/>
          <w:u w:val="single"/>
          <w:lang w:val="bg-BG"/>
        </w:rPr>
        <w:t xml:space="preserve"> от ЗМСМА,</w:t>
      </w:r>
      <w:r w:rsidR="007A79FB" w:rsidRPr="00E81A6E">
        <w:rPr>
          <w:rFonts w:ascii="Times New Roman" w:hAnsi="Times New Roman" w:cs="Times New Roman"/>
          <w:sz w:val="24"/>
          <w:szCs w:val="24"/>
          <w:lang w:val="bg-BG"/>
        </w:rPr>
        <w:t xml:space="preserve"> общинският съвет следва да определи не по-малко от 30 на сто от </w:t>
      </w:r>
      <w:r w:rsidR="007A79FB" w:rsidRPr="00E81A6E">
        <w:rPr>
          <w:rFonts w:ascii="Times New Roman" w:hAnsi="Times New Roman" w:cs="Times New Roman"/>
          <w:spacing w:val="-1"/>
          <w:sz w:val="24"/>
          <w:szCs w:val="24"/>
          <w:lang w:val="bg-BG"/>
        </w:rPr>
        <w:t xml:space="preserve">съответните постъпления да се използват за изпълнение на дейности от местно значение </w:t>
      </w:r>
      <w:r w:rsidR="007A79FB" w:rsidRPr="00E81A6E">
        <w:rPr>
          <w:rFonts w:ascii="Times New Roman" w:hAnsi="Times New Roman" w:cs="Times New Roman"/>
          <w:sz w:val="24"/>
          <w:szCs w:val="24"/>
          <w:lang w:val="bg-BG"/>
        </w:rPr>
        <w:t>или за финансиране на изграждането, за основен и текущ ремонт на социалната и техническата инфраструктура на територията на същото населено място.</w:t>
      </w:r>
    </w:p>
    <w:p w14:paraId="39D4C0F8" w14:textId="77777777" w:rsidR="008655D0" w:rsidRPr="00E81A6E" w:rsidRDefault="007A79FB"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С</w:t>
      </w:r>
      <w:r w:rsidR="008655D0" w:rsidRPr="00E81A6E">
        <w:rPr>
          <w:rFonts w:ascii="Times New Roman" w:hAnsi="Times New Roman" w:cs="Times New Roman"/>
          <w:sz w:val="24"/>
          <w:szCs w:val="24"/>
          <w:lang w:val="ru-RU"/>
        </w:rPr>
        <w:t xml:space="preserve"> бюджета на </w:t>
      </w:r>
      <w:r w:rsidRPr="00E81A6E">
        <w:rPr>
          <w:rFonts w:ascii="Times New Roman" w:hAnsi="Times New Roman" w:cs="Times New Roman"/>
          <w:sz w:val="24"/>
          <w:szCs w:val="24"/>
          <w:lang w:val="ru-RU"/>
        </w:rPr>
        <w:t xml:space="preserve">Столична </w:t>
      </w:r>
      <w:r w:rsidR="008655D0" w:rsidRPr="00E81A6E">
        <w:rPr>
          <w:rFonts w:ascii="Times New Roman" w:hAnsi="Times New Roman" w:cs="Times New Roman"/>
          <w:sz w:val="24"/>
          <w:szCs w:val="24"/>
          <w:lang w:val="ru-RU"/>
        </w:rPr>
        <w:t>община</w:t>
      </w:r>
      <w:r w:rsidRPr="00E81A6E">
        <w:rPr>
          <w:rFonts w:ascii="Times New Roman" w:hAnsi="Times New Roman" w:cs="Times New Roman"/>
          <w:sz w:val="24"/>
          <w:szCs w:val="24"/>
          <w:lang w:val="ru-RU"/>
        </w:rPr>
        <w:t xml:space="preserve"> за 2021г.</w:t>
      </w:r>
      <w:r w:rsidR="008655D0" w:rsidRPr="00E81A6E">
        <w:rPr>
          <w:rFonts w:ascii="Times New Roman" w:hAnsi="Times New Roman" w:cs="Times New Roman"/>
          <w:sz w:val="24"/>
          <w:szCs w:val="24"/>
          <w:lang w:val="ru-RU"/>
        </w:rPr>
        <w:t xml:space="preserve"> се внасят за одобрение в общинския съвет средствата</w:t>
      </w:r>
      <w:r w:rsidRPr="00E81A6E">
        <w:rPr>
          <w:rFonts w:ascii="Times New Roman" w:hAnsi="Times New Roman" w:cs="Times New Roman"/>
          <w:sz w:val="24"/>
          <w:szCs w:val="24"/>
          <w:lang w:val="ru-RU"/>
        </w:rPr>
        <w:t xml:space="preserve"> за заплати</w:t>
      </w:r>
      <w:r w:rsidR="008C3DD2"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осигурителни вноски и издръжка на </w:t>
      </w:r>
      <w:r w:rsidR="008655D0" w:rsidRPr="00E81A6E">
        <w:rPr>
          <w:rFonts w:ascii="Times New Roman" w:hAnsi="Times New Roman" w:cs="Times New Roman"/>
          <w:sz w:val="24"/>
          <w:szCs w:val="24"/>
          <w:lang w:val="ru-RU"/>
        </w:rPr>
        <w:t>кметствата и населените места</w:t>
      </w:r>
      <w:r w:rsidR="00A639A3" w:rsidRPr="00E81A6E">
        <w:rPr>
          <w:rFonts w:ascii="Times New Roman" w:hAnsi="Times New Roman" w:cs="Times New Roman"/>
          <w:sz w:val="24"/>
          <w:szCs w:val="24"/>
          <w:lang w:val="ru-RU"/>
        </w:rPr>
        <w:t>, както и за изпълнение на дейности от местно значение</w:t>
      </w:r>
      <w:r w:rsidR="008655D0" w:rsidRPr="00E81A6E">
        <w:rPr>
          <w:rFonts w:ascii="Times New Roman" w:hAnsi="Times New Roman" w:cs="Times New Roman"/>
          <w:sz w:val="24"/>
          <w:szCs w:val="24"/>
          <w:lang w:val="ru-RU"/>
        </w:rPr>
        <w:t>. За Столична община тези средства са в рамките на бюджетите на районите</w:t>
      </w:r>
      <w:r w:rsidR="00A639A3"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w:t>
      </w:r>
      <w:r w:rsidR="00A639A3" w:rsidRPr="00E81A6E">
        <w:rPr>
          <w:rFonts w:ascii="Times New Roman" w:hAnsi="Times New Roman" w:cs="Times New Roman"/>
          <w:sz w:val="24"/>
          <w:szCs w:val="24"/>
          <w:lang w:val="ru-RU"/>
        </w:rPr>
        <w:t xml:space="preserve">Средствата за </w:t>
      </w:r>
      <w:r w:rsidR="00A639A3" w:rsidRPr="00E81A6E">
        <w:rPr>
          <w:rFonts w:ascii="Times New Roman" w:hAnsi="Times New Roman" w:cs="Times New Roman"/>
          <w:sz w:val="24"/>
          <w:szCs w:val="24"/>
          <w:lang w:val="bg-BG"/>
        </w:rPr>
        <w:t xml:space="preserve">финансиране изграждането, за основен и текущ ремонт на социалната и техническата инфраструктура се разчитат </w:t>
      </w:r>
      <w:r w:rsidR="00900DAE" w:rsidRPr="00E81A6E">
        <w:rPr>
          <w:rFonts w:ascii="Times New Roman" w:hAnsi="Times New Roman" w:cs="Times New Roman"/>
          <w:sz w:val="24"/>
          <w:szCs w:val="24"/>
          <w:lang w:val="bg-BG"/>
        </w:rPr>
        <w:t>с Капиталовата програма на Столична община, в частта за капиталови разходи и по бюджетите на районите.</w:t>
      </w:r>
      <w:r w:rsidR="00A639A3" w:rsidRPr="00E81A6E">
        <w:rPr>
          <w:rFonts w:ascii="Times New Roman" w:hAnsi="Times New Roman" w:cs="Times New Roman"/>
          <w:sz w:val="24"/>
          <w:szCs w:val="24"/>
          <w:lang w:val="bg-BG"/>
        </w:rPr>
        <w:t xml:space="preserve"> </w:t>
      </w:r>
    </w:p>
    <w:p w14:paraId="31FBCD4D" w14:textId="77777777" w:rsidR="003E3FC6" w:rsidRPr="00E81A6E" w:rsidRDefault="003E3FC6" w:rsidP="00F55B06">
      <w:pPr>
        <w:spacing w:after="0" w:line="240" w:lineRule="auto"/>
        <w:ind w:firstLine="720"/>
        <w:contextualSpacing/>
        <w:jc w:val="both"/>
        <w:rPr>
          <w:rFonts w:ascii="Times New Roman" w:hAnsi="Times New Roman" w:cs="Times New Roman"/>
          <w:sz w:val="24"/>
          <w:szCs w:val="24"/>
          <w:lang w:val="bg-BG"/>
        </w:rPr>
      </w:pPr>
    </w:p>
    <w:p w14:paraId="23FFE056"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bg-BG"/>
        </w:rPr>
      </w:pPr>
      <w:bookmarkStart w:id="76" w:name="_Toc409874551"/>
      <w:bookmarkStart w:id="77" w:name="_Toc499639780"/>
      <w:bookmarkStart w:id="78" w:name="_Toc500496076"/>
      <w:bookmarkStart w:id="79" w:name="_Toc500496422"/>
      <w:bookmarkStart w:id="80" w:name="_Toc503629623"/>
      <w:bookmarkStart w:id="81" w:name="_Toc61971775"/>
      <w:r w:rsidRPr="00E81A6E">
        <w:rPr>
          <w:rFonts w:ascii="Times New Roman" w:hAnsi="Times New Roman" w:cs="Times New Roman"/>
          <w:color w:val="auto"/>
          <w:sz w:val="24"/>
          <w:szCs w:val="24"/>
          <w:lang w:val="ru-RU"/>
        </w:rPr>
        <w:t>Функция “Отбрана и сигурност“</w:t>
      </w:r>
      <w:bookmarkEnd w:id="76"/>
      <w:bookmarkEnd w:id="77"/>
      <w:bookmarkEnd w:id="78"/>
      <w:bookmarkEnd w:id="79"/>
      <w:r w:rsidRPr="00E81A6E">
        <w:rPr>
          <w:rFonts w:ascii="Times New Roman" w:hAnsi="Times New Roman" w:cs="Times New Roman"/>
          <w:color w:val="auto"/>
          <w:sz w:val="24"/>
          <w:szCs w:val="24"/>
          <w:lang w:val="ru-RU"/>
        </w:rPr>
        <w:t xml:space="preserve"> </w:t>
      </w:r>
      <w:r w:rsidRPr="00E81A6E">
        <w:rPr>
          <w:rFonts w:ascii="Times New Roman" w:hAnsi="Times New Roman" w:cs="Times New Roman"/>
          <w:color w:val="auto"/>
          <w:sz w:val="24"/>
          <w:szCs w:val="24"/>
          <w:lang w:val="bg-BG"/>
        </w:rPr>
        <w:t>– текущи разходи</w:t>
      </w:r>
      <w:bookmarkEnd w:id="80"/>
      <w:bookmarkEnd w:id="81"/>
      <w:r w:rsidRPr="00E81A6E">
        <w:rPr>
          <w:rFonts w:ascii="Times New Roman" w:hAnsi="Times New Roman" w:cs="Times New Roman"/>
          <w:color w:val="auto"/>
          <w:sz w:val="24"/>
          <w:szCs w:val="24"/>
          <w:lang w:val="ru-RU"/>
        </w:rPr>
        <w:t xml:space="preserve"> </w:t>
      </w:r>
    </w:p>
    <w:p w14:paraId="2A4E0328" w14:textId="77777777" w:rsidR="006F5B92" w:rsidRPr="00E81A6E" w:rsidRDefault="00595137"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w:t>
      </w:r>
      <w:r w:rsidR="006F5B92" w:rsidRPr="00E81A6E">
        <w:rPr>
          <w:rFonts w:ascii="Times New Roman" w:hAnsi="Times New Roman" w:cs="Times New Roman"/>
          <w:sz w:val="24"/>
          <w:szCs w:val="24"/>
          <w:lang w:val="ru-RU"/>
        </w:rPr>
        <w:t xml:space="preserve">сновните </w:t>
      </w:r>
      <w:r w:rsidRPr="00E81A6E">
        <w:rPr>
          <w:rFonts w:ascii="Times New Roman" w:hAnsi="Times New Roman" w:cs="Times New Roman"/>
          <w:sz w:val="24"/>
          <w:szCs w:val="24"/>
          <w:lang w:val="ru-RU"/>
        </w:rPr>
        <w:t>дейности</w:t>
      </w:r>
      <w:r w:rsidR="006F5B92"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осъществявани от направлението, са:</w:t>
      </w:r>
    </w:p>
    <w:p w14:paraId="0DDBED0D" w14:textId="77777777" w:rsidR="006F5B92" w:rsidRPr="00E81A6E" w:rsidRDefault="006F5B92" w:rsidP="00350B12">
      <w:pPr>
        <w:pStyle w:val="ListParagraph"/>
        <w:numPr>
          <w:ilvl w:val="0"/>
          <w:numId w:val="18"/>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опазване на обществения ред;</w:t>
      </w:r>
    </w:p>
    <w:p w14:paraId="4921C531" w14:textId="77777777" w:rsidR="006F5B92" w:rsidRPr="00E81A6E" w:rsidRDefault="006F5B92" w:rsidP="00350B12">
      <w:pPr>
        <w:pStyle w:val="ListParagraph"/>
        <w:numPr>
          <w:ilvl w:val="0"/>
          <w:numId w:val="18"/>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защита при бедствия;</w:t>
      </w:r>
    </w:p>
    <w:p w14:paraId="2F96CEDB" w14:textId="77777777" w:rsidR="006F5B92" w:rsidRPr="00E81A6E" w:rsidRDefault="006F5B92" w:rsidP="00350B12">
      <w:pPr>
        <w:pStyle w:val="ListParagraph"/>
        <w:numPr>
          <w:ilvl w:val="0"/>
          <w:numId w:val="18"/>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отбранително-мобилизационна подготовка.</w:t>
      </w:r>
    </w:p>
    <w:p w14:paraId="478A6A2B" w14:textId="77777777" w:rsidR="00991152"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 xml:space="preserve">По бюджета са разчетени </w:t>
      </w:r>
      <w:r w:rsidRPr="00E81A6E">
        <w:rPr>
          <w:rFonts w:ascii="Times New Roman" w:hAnsi="Times New Roman" w:cs="Times New Roman"/>
          <w:b/>
          <w:bCs/>
          <w:sz w:val="24"/>
          <w:szCs w:val="24"/>
          <w:lang w:val="ru-RU"/>
        </w:rPr>
        <w:t>1</w:t>
      </w:r>
      <w:r w:rsidR="005002F4" w:rsidRPr="00E81A6E">
        <w:rPr>
          <w:rFonts w:ascii="Times New Roman" w:hAnsi="Times New Roman" w:cs="Times New Roman"/>
          <w:b/>
          <w:bCs/>
          <w:sz w:val="24"/>
          <w:szCs w:val="24"/>
          <w:lang w:val="ru-RU"/>
        </w:rPr>
        <w:t>7</w:t>
      </w:r>
      <w:r w:rsidRPr="00E81A6E">
        <w:rPr>
          <w:rFonts w:ascii="Times New Roman" w:hAnsi="Times New Roman" w:cs="Times New Roman"/>
          <w:b/>
          <w:bCs/>
          <w:sz w:val="24"/>
          <w:szCs w:val="24"/>
          <w:lang w:val="ru-RU"/>
        </w:rPr>
        <w:t>,</w:t>
      </w:r>
      <w:r w:rsidR="005002F4" w:rsidRPr="00E81A6E">
        <w:rPr>
          <w:rFonts w:ascii="Times New Roman" w:hAnsi="Times New Roman" w:cs="Times New Roman"/>
          <w:b/>
          <w:bCs/>
          <w:sz w:val="24"/>
          <w:szCs w:val="24"/>
          <w:lang w:val="ru-RU"/>
        </w:rPr>
        <w:t>593</w:t>
      </w:r>
      <w:r w:rsidRPr="00E81A6E">
        <w:rPr>
          <w:rFonts w:ascii="Times New Roman" w:hAnsi="Times New Roman" w:cs="Times New Roman"/>
          <w:b/>
          <w:bCs/>
          <w:sz w:val="24"/>
          <w:szCs w:val="24"/>
          <w:lang w:val="ru-RU"/>
        </w:rPr>
        <w:t>,</w:t>
      </w:r>
      <w:r w:rsidR="005002F4" w:rsidRPr="00E81A6E">
        <w:rPr>
          <w:rFonts w:ascii="Times New Roman" w:hAnsi="Times New Roman" w:cs="Times New Roman"/>
          <w:b/>
          <w:bCs/>
          <w:sz w:val="24"/>
          <w:szCs w:val="24"/>
          <w:lang w:val="ru-RU"/>
        </w:rPr>
        <w:t>239</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bg-BG"/>
        </w:rPr>
        <w:t>от които</w:t>
      </w:r>
      <w:r w:rsidRPr="00E81A6E">
        <w:rPr>
          <w:rFonts w:ascii="Times New Roman" w:hAnsi="Times New Roman" w:cs="Times New Roman"/>
          <w:sz w:val="24"/>
          <w:szCs w:val="24"/>
          <w:lang w:val="ru-RU"/>
        </w:rPr>
        <w:t xml:space="preserve"> общинска отговорност </w:t>
      </w:r>
      <w:r w:rsidR="007B1546" w:rsidRPr="00E81A6E">
        <w:rPr>
          <w:rFonts w:ascii="Times New Roman" w:hAnsi="Times New Roman" w:cs="Times New Roman"/>
          <w:sz w:val="24"/>
          <w:szCs w:val="24"/>
          <w:lang w:val="ru-RU"/>
        </w:rPr>
        <w:t>7</w:t>
      </w:r>
      <w:r w:rsidRPr="00E81A6E">
        <w:rPr>
          <w:rFonts w:ascii="Times New Roman" w:hAnsi="Times New Roman" w:cs="Times New Roman"/>
          <w:sz w:val="24"/>
          <w:szCs w:val="24"/>
          <w:lang w:val="ru-RU"/>
        </w:rPr>
        <w:t>,</w:t>
      </w:r>
      <w:r w:rsidR="007B1546" w:rsidRPr="00E81A6E">
        <w:rPr>
          <w:rFonts w:ascii="Times New Roman" w:hAnsi="Times New Roman" w:cs="Times New Roman"/>
          <w:sz w:val="24"/>
          <w:szCs w:val="24"/>
          <w:lang w:val="ru-RU"/>
        </w:rPr>
        <w:t>547</w:t>
      </w:r>
      <w:r w:rsidRPr="00E81A6E">
        <w:rPr>
          <w:rFonts w:ascii="Times New Roman" w:hAnsi="Times New Roman" w:cs="Times New Roman"/>
          <w:sz w:val="24"/>
          <w:szCs w:val="24"/>
          <w:lang w:val="ru-RU"/>
        </w:rPr>
        <w:t>,</w:t>
      </w:r>
      <w:r w:rsidR="007B1546" w:rsidRPr="00E81A6E">
        <w:rPr>
          <w:rFonts w:ascii="Times New Roman" w:hAnsi="Times New Roman" w:cs="Times New Roman"/>
          <w:sz w:val="24"/>
          <w:szCs w:val="24"/>
          <w:lang w:val="ru-RU"/>
        </w:rPr>
        <w:t>089</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в това число за договор със СДВР за звено “Общинска полиция”</w:t>
      </w:r>
      <w:r w:rsidR="00B26384" w:rsidRPr="00E81A6E">
        <w:rPr>
          <w:rFonts w:ascii="Times New Roman" w:hAnsi="Times New Roman" w:cs="Times New Roman"/>
          <w:sz w:val="24"/>
          <w:szCs w:val="24"/>
          <w:lang w:val="ru-RU"/>
        </w:rPr>
        <w:t xml:space="preserve"> </w:t>
      </w:r>
      <w:r w:rsidR="007A5D69" w:rsidRPr="00E81A6E">
        <w:rPr>
          <w:rFonts w:ascii="Times New Roman" w:hAnsi="Times New Roman" w:cs="Times New Roman"/>
          <w:sz w:val="24"/>
          <w:szCs w:val="24"/>
          <w:lang w:val="ru-RU"/>
        </w:rPr>
        <w:t>4</w:t>
      </w:r>
      <w:r w:rsidRPr="00E81A6E">
        <w:rPr>
          <w:rFonts w:ascii="Times New Roman" w:hAnsi="Times New Roman" w:cs="Times New Roman"/>
          <w:sz w:val="24"/>
          <w:szCs w:val="24"/>
          <w:lang w:val="bg-BG"/>
        </w:rPr>
        <w:t>,</w:t>
      </w:r>
      <w:r w:rsidR="007A5D69" w:rsidRPr="00E81A6E">
        <w:rPr>
          <w:rFonts w:ascii="Times New Roman" w:hAnsi="Times New Roman" w:cs="Times New Roman"/>
          <w:sz w:val="24"/>
          <w:szCs w:val="24"/>
          <w:lang w:val="bg-BG"/>
        </w:rPr>
        <w:t>893</w:t>
      </w:r>
      <w:r w:rsidRPr="00E81A6E">
        <w:rPr>
          <w:rFonts w:ascii="Times New Roman" w:hAnsi="Times New Roman" w:cs="Times New Roman"/>
          <w:sz w:val="24"/>
          <w:szCs w:val="24"/>
          <w:lang w:val="bg-BG"/>
        </w:rPr>
        <w:t>,</w:t>
      </w:r>
      <w:r w:rsidR="007A5D69" w:rsidRPr="00E81A6E">
        <w:rPr>
          <w:rFonts w:ascii="Times New Roman" w:hAnsi="Times New Roman" w:cs="Times New Roman"/>
          <w:sz w:val="24"/>
          <w:szCs w:val="24"/>
          <w:lang w:val="bg-BG"/>
        </w:rPr>
        <w:t>275</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2417DFD2" w14:textId="77777777" w:rsidR="00991152" w:rsidRPr="00E81A6E" w:rsidRDefault="0099115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За преодоляване последиците от стихийни бедствия и превантивна дейност</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са предвидени</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общо 850,000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w:t>
      </w:r>
    </w:p>
    <w:p w14:paraId="42F239DB" w14:textId="77777777" w:rsidR="00991152" w:rsidRPr="00E81A6E" w:rsidRDefault="0099115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 2</w:t>
      </w:r>
      <w:r w:rsidRPr="00E81A6E">
        <w:rPr>
          <w:rFonts w:ascii="Times New Roman" w:hAnsi="Times New Roman" w:cs="Times New Roman"/>
          <w:sz w:val="24"/>
          <w:szCs w:val="24"/>
          <w:lang w:val="ru-RU"/>
        </w:rPr>
        <w:t xml:space="preserve"> щатни бройки</w:t>
      </w:r>
      <w:r w:rsidRPr="00E81A6E">
        <w:rPr>
          <w:rFonts w:ascii="Times New Roman" w:hAnsi="Times New Roman" w:cs="Times New Roman"/>
          <w:sz w:val="24"/>
          <w:szCs w:val="24"/>
          <w:lang w:val="bg-BG"/>
        </w:rPr>
        <w:t>,</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за </w:t>
      </w:r>
      <w:r w:rsidR="004D6E4A" w:rsidRPr="00E81A6E">
        <w:rPr>
          <w:rFonts w:ascii="Times New Roman" w:hAnsi="Times New Roman" w:cs="Times New Roman"/>
          <w:sz w:val="24"/>
          <w:szCs w:val="24"/>
          <w:lang w:val="ru-RU"/>
        </w:rPr>
        <w:t>Оперативен център за видеонаблюдение на Южна дъга на околовръстен път</w:t>
      </w:r>
      <w:r w:rsidRPr="00E81A6E">
        <w:rPr>
          <w:rFonts w:ascii="Times New Roman" w:hAnsi="Times New Roman" w:cs="Times New Roman"/>
          <w:sz w:val="24"/>
          <w:szCs w:val="24"/>
          <w:lang w:val="bg-BG"/>
        </w:rPr>
        <w:t xml:space="preserve"> са разчетени</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за заплати 2</w:t>
      </w:r>
      <w:r w:rsidR="00595137"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w:t>
      </w:r>
      <w:r w:rsidR="00595137" w:rsidRPr="00E81A6E">
        <w:rPr>
          <w:rFonts w:ascii="Times New Roman" w:hAnsi="Times New Roman" w:cs="Times New Roman"/>
          <w:sz w:val="24"/>
          <w:szCs w:val="24"/>
          <w:lang w:val="ru-RU"/>
        </w:rPr>
        <w:t>630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осигурителни вноски </w:t>
      </w:r>
      <w:r w:rsidR="00595137"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w:t>
      </w:r>
      <w:r w:rsidR="00595137"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в дейност 239 “Други дейности по вътрешната сигурност“ – местна дейност.</w:t>
      </w:r>
      <w:r w:rsidRPr="00E81A6E">
        <w:rPr>
          <w:rFonts w:ascii="Times New Roman" w:hAnsi="Times New Roman" w:cs="Times New Roman"/>
          <w:sz w:val="24"/>
          <w:szCs w:val="24"/>
          <w:lang w:val="bg-BG"/>
        </w:rPr>
        <w:t xml:space="preserve"> </w:t>
      </w:r>
    </w:p>
    <w:p w14:paraId="61A253B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 дейността на дирекция „Аварийна помощ и превенция” се включва:</w:t>
      </w:r>
    </w:p>
    <w:p w14:paraId="2B733096" w14:textId="77777777" w:rsidR="006F5B92" w:rsidRPr="00E81A6E" w:rsidRDefault="006F5B92" w:rsidP="00350B12">
      <w:pPr>
        <w:pStyle w:val="ListParagraph"/>
        <w:numPr>
          <w:ilvl w:val="0"/>
          <w:numId w:val="19"/>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Функционирането на Полигона за обучение на деца, ученици и доброволни формирования в Панчарево;</w:t>
      </w:r>
    </w:p>
    <w:p w14:paraId="7D1BA36F" w14:textId="77777777" w:rsidR="006F5B92" w:rsidRPr="00E81A6E" w:rsidRDefault="006F5B92" w:rsidP="00350B12">
      <w:pPr>
        <w:pStyle w:val="ListParagraph"/>
        <w:numPr>
          <w:ilvl w:val="0"/>
          <w:numId w:val="19"/>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Участие в провеждането на спасителни дейности за справяне с последиците от възникнали природни явления ;</w:t>
      </w:r>
    </w:p>
    <w:p w14:paraId="2859DB54" w14:textId="77777777" w:rsidR="006F5B92" w:rsidRPr="00E81A6E" w:rsidRDefault="006F5B92" w:rsidP="00350B12">
      <w:pPr>
        <w:pStyle w:val="ListParagraph"/>
        <w:numPr>
          <w:ilvl w:val="0"/>
          <w:numId w:val="19"/>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Участва в премахването на опасни дървета и клони от тротоари, булеварди, улици и паркове.</w:t>
      </w:r>
    </w:p>
    <w:p w14:paraId="1A3FDEB0" w14:textId="77777777" w:rsidR="006F5B92" w:rsidRPr="00E81A6E" w:rsidRDefault="006F5B92" w:rsidP="00350B12">
      <w:pPr>
        <w:pStyle w:val="ListParagraph"/>
        <w:numPr>
          <w:ilvl w:val="0"/>
          <w:numId w:val="19"/>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Координира дейността по повод работата на доброволното формирование на СО за предотвратяване или овладяване на бедствия , пожари и извънредни ситуации и за отстраняване на последиците от тях, в т.ч. извършва обучението на доброволците;</w:t>
      </w:r>
    </w:p>
    <w:p w14:paraId="1F4ED01E"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Дирекция „Сигурност” изпълнява</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следните функции:</w:t>
      </w:r>
    </w:p>
    <w:p w14:paraId="2D92E1FF" w14:textId="77777777" w:rsidR="006F5B92" w:rsidRPr="00E81A6E" w:rsidRDefault="006F5B92" w:rsidP="00350B12">
      <w:pPr>
        <w:pStyle w:val="ListParagraph"/>
        <w:numPr>
          <w:ilvl w:val="0"/>
          <w:numId w:val="20"/>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Осигурява обществения ред, сигурността, защитата на населението при бедствия, аварии, инциденти и други извънредни ситуации;</w:t>
      </w:r>
    </w:p>
    <w:p w14:paraId="76F4B7F8" w14:textId="77777777" w:rsidR="006F5B92" w:rsidRPr="00E81A6E" w:rsidRDefault="006F5B92" w:rsidP="00350B12">
      <w:pPr>
        <w:pStyle w:val="ListParagraph"/>
        <w:numPr>
          <w:ilvl w:val="0"/>
          <w:numId w:val="20"/>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Извършва наблюдение на територията на общинските обекти, свързани със системата за видеонаблюдение;</w:t>
      </w:r>
    </w:p>
    <w:p w14:paraId="2542981C" w14:textId="77777777" w:rsidR="006F5B92" w:rsidRPr="00E81A6E" w:rsidRDefault="006F5B92" w:rsidP="00350B12">
      <w:pPr>
        <w:pStyle w:val="ListParagraph"/>
        <w:numPr>
          <w:ilvl w:val="0"/>
          <w:numId w:val="20"/>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lastRenderedPageBreak/>
        <w:t>Организира и координира дейностите по изпълнението на задачите на Звено „Общинска полиция”, СДВР и Столична община по договора между СДВР и Столична община;</w:t>
      </w:r>
    </w:p>
    <w:p w14:paraId="06D23D1F" w14:textId="77777777" w:rsidR="006F5B92" w:rsidRPr="00E81A6E" w:rsidRDefault="006F5B92" w:rsidP="00350B12">
      <w:pPr>
        <w:pStyle w:val="ListParagraph"/>
        <w:numPr>
          <w:ilvl w:val="0"/>
          <w:numId w:val="20"/>
        </w:numPr>
        <w:spacing w:after="0" w:line="240" w:lineRule="auto"/>
        <w:contextualSpacing/>
        <w:jc w:val="both"/>
        <w:rPr>
          <w:rFonts w:ascii="Times New Roman" w:hAnsi="Times New Roman" w:cs="Times New Roman"/>
          <w:i/>
          <w:iCs/>
          <w:sz w:val="24"/>
          <w:szCs w:val="24"/>
          <w:lang w:val="bg-BG"/>
        </w:rPr>
      </w:pPr>
      <w:r w:rsidRPr="00E81A6E">
        <w:rPr>
          <w:rFonts w:ascii="Times New Roman" w:hAnsi="Times New Roman" w:cs="Times New Roman"/>
          <w:i/>
          <w:iCs/>
          <w:sz w:val="24"/>
          <w:szCs w:val="24"/>
          <w:lang w:val="bg-BG"/>
        </w:rPr>
        <w:t>Участие в подготовката на документацията и провеждането на процедури по ЗОП за охрана на общински сгради и обекти</w:t>
      </w:r>
      <w:r w:rsidR="00A627A4" w:rsidRPr="00E81A6E">
        <w:rPr>
          <w:rFonts w:ascii="Times New Roman" w:hAnsi="Times New Roman" w:cs="Times New Roman"/>
          <w:i/>
          <w:iCs/>
          <w:sz w:val="24"/>
          <w:szCs w:val="24"/>
          <w:lang w:val="bg-BG"/>
        </w:rPr>
        <w:t>,</w:t>
      </w:r>
      <w:r w:rsidRPr="00E81A6E">
        <w:rPr>
          <w:rFonts w:ascii="Times New Roman" w:hAnsi="Times New Roman" w:cs="Times New Roman"/>
          <w:i/>
          <w:iCs/>
          <w:sz w:val="24"/>
          <w:szCs w:val="24"/>
          <w:lang w:val="bg-BG"/>
        </w:rPr>
        <w:t xml:space="preserve"> и др., свързани с дейността на дирекцията.</w:t>
      </w:r>
    </w:p>
    <w:p w14:paraId="4A7F84A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Във функцията са включени разходи за дейности, които се финансират за сметка на държавния трансфер от </w:t>
      </w:r>
      <w:r w:rsidR="002B26C3" w:rsidRPr="00E81A6E">
        <w:rPr>
          <w:rFonts w:ascii="Times New Roman" w:hAnsi="Times New Roman" w:cs="Times New Roman"/>
          <w:sz w:val="24"/>
          <w:szCs w:val="24"/>
          <w:lang w:val="ru-RU"/>
        </w:rPr>
        <w:t>7</w:t>
      </w:r>
      <w:r w:rsidRPr="00E81A6E">
        <w:rPr>
          <w:rFonts w:ascii="Times New Roman" w:hAnsi="Times New Roman" w:cs="Times New Roman"/>
          <w:sz w:val="24"/>
          <w:szCs w:val="24"/>
          <w:lang w:val="ru-RU"/>
        </w:rPr>
        <w:t>,</w:t>
      </w:r>
      <w:r w:rsidR="002B26C3" w:rsidRPr="00E81A6E">
        <w:rPr>
          <w:rFonts w:ascii="Times New Roman" w:hAnsi="Times New Roman" w:cs="Times New Roman"/>
          <w:sz w:val="24"/>
          <w:szCs w:val="24"/>
          <w:lang w:val="ru-RU"/>
        </w:rPr>
        <w:t>756</w:t>
      </w:r>
      <w:r w:rsidRPr="00E81A6E">
        <w:rPr>
          <w:rFonts w:ascii="Times New Roman" w:hAnsi="Times New Roman" w:cs="Times New Roman"/>
          <w:sz w:val="24"/>
          <w:szCs w:val="24"/>
          <w:lang w:val="ru-RU"/>
        </w:rPr>
        <w:t>,</w:t>
      </w:r>
      <w:r w:rsidR="002B26C3" w:rsidRPr="00E81A6E">
        <w:rPr>
          <w:rFonts w:ascii="Times New Roman" w:hAnsi="Times New Roman" w:cs="Times New Roman"/>
          <w:sz w:val="24"/>
          <w:szCs w:val="24"/>
          <w:lang w:val="ru-RU"/>
        </w:rPr>
        <w:t>470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 xml:space="preserve"> </w:t>
      </w:r>
      <w:r w:rsidR="007A5D69" w:rsidRPr="00E81A6E">
        <w:rPr>
          <w:rFonts w:ascii="Times New Roman" w:hAnsi="Times New Roman" w:cs="Times New Roman"/>
          <w:sz w:val="24"/>
          <w:szCs w:val="24"/>
          <w:lang w:val="bg-BG"/>
        </w:rPr>
        <w:t>К</w:t>
      </w:r>
      <w:r w:rsidRPr="00E81A6E">
        <w:rPr>
          <w:rFonts w:ascii="Times New Roman" w:hAnsi="Times New Roman" w:cs="Times New Roman"/>
          <w:sz w:val="24"/>
          <w:szCs w:val="24"/>
          <w:lang w:val="bg-BG"/>
        </w:rPr>
        <w:t>ато пре</w:t>
      </w:r>
      <w:r w:rsidR="002B26C3" w:rsidRPr="00E81A6E">
        <w:rPr>
          <w:rFonts w:ascii="Times New Roman" w:hAnsi="Times New Roman" w:cs="Times New Roman"/>
          <w:sz w:val="24"/>
          <w:szCs w:val="24"/>
          <w:lang w:val="bg-BG"/>
        </w:rPr>
        <w:t>ходен остатък от предходната 202</w:t>
      </w:r>
      <w:r w:rsidR="001311A1" w:rsidRPr="00E81A6E">
        <w:rPr>
          <w:rFonts w:ascii="Times New Roman" w:hAnsi="Times New Roman" w:cs="Times New Roman"/>
          <w:sz w:val="24"/>
          <w:szCs w:val="24"/>
          <w:lang w:val="bg-BG"/>
        </w:rPr>
        <w:t>0</w:t>
      </w:r>
      <w:r w:rsidRPr="00E81A6E">
        <w:rPr>
          <w:rFonts w:ascii="Times New Roman" w:hAnsi="Times New Roman" w:cs="Times New Roman"/>
          <w:sz w:val="24"/>
          <w:szCs w:val="24"/>
          <w:lang w:val="bg-BG"/>
        </w:rPr>
        <w:t xml:space="preserve">г. са преминали </w:t>
      </w:r>
      <w:r w:rsidR="00F00D6A" w:rsidRPr="00E81A6E">
        <w:rPr>
          <w:rFonts w:ascii="Times New Roman" w:hAnsi="Times New Roman" w:cs="Times New Roman"/>
          <w:sz w:val="24"/>
          <w:szCs w:val="24"/>
        </w:rPr>
        <w:t>3</w:t>
      </w:r>
      <w:r w:rsidRPr="00E81A6E">
        <w:rPr>
          <w:rFonts w:ascii="Times New Roman" w:hAnsi="Times New Roman" w:cs="Times New Roman"/>
          <w:sz w:val="24"/>
          <w:szCs w:val="24"/>
          <w:lang w:val="ru-RU"/>
        </w:rPr>
        <w:t>,</w:t>
      </w:r>
      <w:r w:rsidR="002B26C3" w:rsidRPr="00E81A6E">
        <w:rPr>
          <w:rFonts w:ascii="Times New Roman" w:hAnsi="Times New Roman" w:cs="Times New Roman"/>
          <w:sz w:val="24"/>
          <w:szCs w:val="24"/>
          <w:lang w:val="ru-RU"/>
        </w:rPr>
        <w:t>041</w:t>
      </w:r>
      <w:r w:rsidRPr="00E81A6E">
        <w:rPr>
          <w:rFonts w:ascii="Times New Roman" w:hAnsi="Times New Roman" w:cs="Times New Roman"/>
          <w:sz w:val="24"/>
          <w:szCs w:val="24"/>
          <w:lang w:val="ru-RU"/>
        </w:rPr>
        <w:t>,</w:t>
      </w:r>
      <w:r w:rsidR="002B26C3" w:rsidRPr="00E81A6E">
        <w:rPr>
          <w:rFonts w:ascii="Times New Roman" w:hAnsi="Times New Roman" w:cs="Times New Roman"/>
          <w:sz w:val="24"/>
          <w:szCs w:val="24"/>
          <w:lang w:val="ru-RU"/>
        </w:rPr>
        <w:t>480</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004D6E4A" w:rsidRPr="00E81A6E">
        <w:rPr>
          <w:rFonts w:ascii="Times New Roman" w:hAnsi="Times New Roman" w:cs="Times New Roman"/>
          <w:sz w:val="24"/>
          <w:szCs w:val="24"/>
          <w:lang w:val="bg-BG"/>
        </w:rPr>
        <w:t>, от които</w:t>
      </w:r>
      <w:r w:rsidR="00C55EB4" w:rsidRPr="00E81A6E">
        <w:rPr>
          <w:rFonts w:ascii="Times New Roman" w:hAnsi="Times New Roman" w:cs="Times New Roman"/>
          <w:sz w:val="24"/>
          <w:szCs w:val="24"/>
          <w:lang w:val="bg-BG"/>
        </w:rPr>
        <w:t xml:space="preserve"> за текущ</w:t>
      </w:r>
      <w:r w:rsidR="007F28E8" w:rsidRPr="00E81A6E">
        <w:rPr>
          <w:rFonts w:ascii="Times New Roman" w:hAnsi="Times New Roman" w:cs="Times New Roman"/>
          <w:sz w:val="24"/>
          <w:szCs w:val="24"/>
          <w:lang w:val="bg-BG"/>
        </w:rPr>
        <w:t>и</w:t>
      </w:r>
      <w:r w:rsidR="00C55EB4" w:rsidRPr="00E81A6E">
        <w:rPr>
          <w:rFonts w:ascii="Times New Roman" w:hAnsi="Times New Roman" w:cs="Times New Roman"/>
          <w:sz w:val="24"/>
          <w:szCs w:val="24"/>
          <w:lang w:val="bg-BG"/>
        </w:rPr>
        <w:t xml:space="preserve"> разходи</w:t>
      </w:r>
      <w:r w:rsidR="004D6E4A" w:rsidRPr="00E81A6E">
        <w:rPr>
          <w:rFonts w:ascii="Times New Roman" w:hAnsi="Times New Roman" w:cs="Times New Roman"/>
          <w:sz w:val="24"/>
          <w:szCs w:val="24"/>
          <w:lang w:val="bg-BG"/>
        </w:rPr>
        <w:t xml:space="preserve"> 2,289,680 лв. и 751,800 лв. за капиталови разходи</w:t>
      </w:r>
      <w:r w:rsidRPr="00E81A6E">
        <w:rPr>
          <w:rFonts w:ascii="Times New Roman" w:hAnsi="Times New Roman" w:cs="Times New Roman"/>
          <w:sz w:val="24"/>
          <w:szCs w:val="24"/>
          <w:lang w:val="bg-BG"/>
        </w:rPr>
        <w:t>.</w:t>
      </w:r>
      <w:r w:rsidR="00C401F5" w:rsidRPr="00E81A6E">
        <w:rPr>
          <w:rFonts w:ascii="Times New Roman" w:hAnsi="Times New Roman" w:cs="Times New Roman"/>
          <w:sz w:val="24"/>
          <w:szCs w:val="24"/>
          <w:lang w:val="ru-RU"/>
        </w:rPr>
        <w:t xml:space="preserve"> </w:t>
      </w:r>
    </w:p>
    <w:p w14:paraId="19111C4A" w14:textId="77777777" w:rsidR="00C401F5"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Средствата</w:t>
      </w:r>
      <w:r w:rsidRPr="00E81A6E">
        <w:rPr>
          <w:rFonts w:ascii="Times New Roman" w:hAnsi="Times New Roman" w:cs="Times New Roman"/>
          <w:sz w:val="24"/>
          <w:szCs w:val="24"/>
          <w:lang w:val="bg-BG"/>
        </w:rPr>
        <w:t>, разчетени със Закона за държавния бюджет за 20</w:t>
      </w:r>
      <w:r w:rsidR="003E47D5" w:rsidRPr="00E81A6E">
        <w:rPr>
          <w:rFonts w:ascii="Times New Roman" w:hAnsi="Times New Roman" w:cs="Times New Roman"/>
          <w:sz w:val="24"/>
          <w:szCs w:val="24"/>
          <w:lang w:val="bg-BG"/>
        </w:rPr>
        <w:t>2</w:t>
      </w:r>
      <w:r w:rsidR="002B26C3"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г.</w:t>
      </w:r>
      <w:r w:rsidRPr="00E81A6E">
        <w:rPr>
          <w:rFonts w:ascii="Times New Roman" w:hAnsi="Times New Roman" w:cs="Times New Roman"/>
          <w:sz w:val="24"/>
          <w:szCs w:val="24"/>
          <w:lang w:val="ru-RU"/>
        </w:rPr>
        <w:t xml:space="preserve"> се формират на база разходни стандарти и натурални показатели</w:t>
      </w:r>
      <w:r w:rsidR="00C401F5" w:rsidRPr="00E81A6E">
        <w:rPr>
          <w:rFonts w:ascii="Times New Roman" w:hAnsi="Times New Roman" w:cs="Times New Roman"/>
          <w:sz w:val="24"/>
          <w:szCs w:val="24"/>
          <w:lang w:val="ru-RU"/>
        </w:rPr>
        <w:t xml:space="preserve"> за:</w:t>
      </w:r>
    </w:p>
    <w:p w14:paraId="40771501" w14:textId="77777777" w:rsidR="00C401F5" w:rsidRPr="00E81A6E" w:rsidRDefault="00C401F5" w:rsidP="00350B12">
      <w:pPr>
        <w:pStyle w:val="ListParagraph"/>
        <w:numPr>
          <w:ilvl w:val="0"/>
          <w:numId w:val="21"/>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Други дейности по вътрешната сигурност – местни комисии за борба срещу противообществените прояви на малолетните и непълнолетните, центрове за превенция и консултативни кабинети към тях, обществени възпитатели; детски педагогически стаи; районни полицейски инспектори; секретари на местни комисии за борба с трафика на хора;</w:t>
      </w:r>
    </w:p>
    <w:p w14:paraId="336DA433" w14:textId="77777777" w:rsidR="00C401F5" w:rsidRPr="00E81A6E" w:rsidRDefault="00C401F5" w:rsidP="00350B12">
      <w:pPr>
        <w:pStyle w:val="ListParagraph"/>
        <w:numPr>
          <w:ilvl w:val="0"/>
          <w:numId w:val="21"/>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Отбранително-мобилизационна подготовка, поддържане на запаси и мощности – оперативни дежурни за носене на денонощно дежурство; изпълнители по поддръжка и по охрана на пунктове за управление; офиси за военен отчет; дейности по плана за защита при бедствия;</w:t>
      </w:r>
    </w:p>
    <w:p w14:paraId="10411465" w14:textId="77777777" w:rsidR="00C401F5" w:rsidRPr="00E81A6E" w:rsidRDefault="00C401F5" w:rsidP="00350B12">
      <w:pPr>
        <w:pStyle w:val="ListParagraph"/>
        <w:numPr>
          <w:ilvl w:val="0"/>
          <w:numId w:val="21"/>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Превантивна дейност за намаляване на вредните последствия от бедствия и аварии – по решение на Междуведомствената комисия за възстановяване и подпомагане към Министерския съвет;</w:t>
      </w:r>
    </w:p>
    <w:p w14:paraId="2BB80E54" w14:textId="77777777" w:rsidR="00C401F5" w:rsidRPr="00E81A6E" w:rsidRDefault="00C401F5" w:rsidP="00350B12">
      <w:pPr>
        <w:pStyle w:val="ListParagraph"/>
        <w:numPr>
          <w:ilvl w:val="0"/>
          <w:numId w:val="21"/>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Ликвидиране на последици от стихийни бедствия и производствени аварии – по решение на Междуведомствената комисия за възстановяване и подпомагане към Министерския съвет;</w:t>
      </w:r>
    </w:p>
    <w:p w14:paraId="4F0A89BA" w14:textId="77777777" w:rsidR="00C401F5" w:rsidRPr="00E81A6E" w:rsidRDefault="00C401F5" w:rsidP="00350B12">
      <w:pPr>
        <w:pStyle w:val="ListParagraph"/>
        <w:numPr>
          <w:ilvl w:val="0"/>
          <w:numId w:val="21"/>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 xml:space="preserve">Доброволни формирования </w:t>
      </w:r>
      <w:r w:rsidRPr="00E81A6E">
        <w:rPr>
          <w:rFonts w:ascii="Times New Roman" w:hAnsi="Times New Roman" w:cs="Times New Roman"/>
          <w:bCs/>
          <w:sz w:val="24"/>
          <w:szCs w:val="24"/>
          <w:lang w:val="bg-BG" w:eastAsia="bg-BG"/>
        </w:rPr>
        <w:t>за предотвратяване или овладяване на бедствия, пожари и извънредни ситуации и за отстраняване на последиците от тях</w:t>
      </w:r>
      <w:r w:rsidRPr="00E81A6E">
        <w:rPr>
          <w:rFonts w:ascii="Times New Roman" w:hAnsi="Times New Roman" w:cs="Times New Roman"/>
          <w:sz w:val="24"/>
          <w:szCs w:val="24"/>
          <w:lang w:val="bg-BG" w:eastAsia="bg-BG"/>
        </w:rPr>
        <w:t>.</w:t>
      </w:r>
    </w:p>
    <w:p w14:paraId="62527CE9" w14:textId="77777777" w:rsidR="001311A1" w:rsidRPr="00E81A6E" w:rsidRDefault="001311A1"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eastAsia="bg-BG"/>
        </w:rPr>
        <w:t>Министърът на вътрешните работи представя информация в Министерството на финансите за броя на регистрираните доброволци по общини за всяко тримесечие.</w:t>
      </w:r>
    </w:p>
    <w:p w14:paraId="118ED668" w14:textId="77777777" w:rsidR="006F5B92" w:rsidRPr="00E81A6E" w:rsidRDefault="001311A1" w:rsidP="00F55B06">
      <w:pPr>
        <w:spacing w:after="0" w:line="240" w:lineRule="auto"/>
        <w:ind w:firstLine="720"/>
        <w:contextualSpacing/>
        <w:jc w:val="both"/>
        <w:rPr>
          <w:rFonts w:ascii="Times New Roman" w:hAnsi="Times New Roman" w:cs="Times New Roman"/>
          <w:iCs/>
          <w:sz w:val="24"/>
          <w:szCs w:val="24"/>
          <w:lang w:val="bg-BG"/>
        </w:rPr>
      </w:pPr>
      <w:r w:rsidRPr="00E81A6E">
        <w:rPr>
          <w:rFonts w:ascii="Times New Roman" w:hAnsi="Times New Roman" w:cs="Times New Roman"/>
          <w:iCs/>
          <w:sz w:val="24"/>
          <w:szCs w:val="24"/>
          <w:lang w:val="bg-BG"/>
        </w:rPr>
        <w:t>Ф</w:t>
      </w:r>
      <w:r w:rsidR="006F5B92" w:rsidRPr="00E81A6E">
        <w:rPr>
          <w:rFonts w:ascii="Times New Roman" w:hAnsi="Times New Roman" w:cs="Times New Roman"/>
          <w:iCs/>
          <w:sz w:val="24"/>
          <w:szCs w:val="24"/>
          <w:lang w:val="bg-BG"/>
        </w:rPr>
        <w:t>инансиране</w:t>
      </w:r>
      <w:r w:rsidRPr="00E81A6E">
        <w:rPr>
          <w:rFonts w:ascii="Times New Roman" w:hAnsi="Times New Roman" w:cs="Times New Roman"/>
          <w:iCs/>
          <w:sz w:val="24"/>
          <w:szCs w:val="24"/>
          <w:lang w:val="bg-BG"/>
        </w:rPr>
        <w:t xml:space="preserve">то на </w:t>
      </w:r>
      <w:r w:rsidR="006F5B92" w:rsidRPr="00E81A6E">
        <w:rPr>
          <w:rFonts w:ascii="Times New Roman" w:hAnsi="Times New Roman" w:cs="Times New Roman"/>
          <w:iCs/>
          <w:sz w:val="24"/>
          <w:szCs w:val="24"/>
          <w:lang w:val="bg-BG"/>
        </w:rPr>
        <w:t xml:space="preserve">щатните бройки на Оперативен дежурен център по видеонаблюдение </w:t>
      </w:r>
      <w:r w:rsidRPr="00E81A6E">
        <w:rPr>
          <w:rFonts w:ascii="Times New Roman" w:hAnsi="Times New Roman" w:cs="Times New Roman"/>
          <w:iCs/>
          <w:sz w:val="24"/>
          <w:szCs w:val="24"/>
          <w:lang w:val="bg-BG"/>
        </w:rPr>
        <w:t>от 2021г. ще</w:t>
      </w:r>
      <w:r w:rsidR="00261416" w:rsidRPr="00E81A6E">
        <w:rPr>
          <w:rFonts w:ascii="Times New Roman" w:hAnsi="Times New Roman" w:cs="Times New Roman"/>
          <w:iCs/>
          <w:sz w:val="24"/>
          <w:szCs w:val="24"/>
          <w:lang w:val="bg-BG"/>
        </w:rPr>
        <w:t xml:space="preserve"> се извършва в рамките на</w:t>
      </w:r>
      <w:r w:rsidRPr="00E81A6E">
        <w:rPr>
          <w:rFonts w:ascii="Times New Roman" w:hAnsi="Times New Roman" w:cs="Times New Roman"/>
          <w:iCs/>
          <w:sz w:val="24"/>
          <w:szCs w:val="24"/>
          <w:lang w:val="bg-BG"/>
        </w:rPr>
        <w:t xml:space="preserve"> средствата за делегирани държавни дейности </w:t>
      </w:r>
      <w:r w:rsidR="00261416" w:rsidRPr="00E81A6E">
        <w:rPr>
          <w:rFonts w:ascii="Times New Roman" w:hAnsi="Times New Roman" w:cs="Times New Roman"/>
          <w:iCs/>
          <w:sz w:val="24"/>
          <w:szCs w:val="24"/>
          <w:lang w:val="bg-BG"/>
        </w:rPr>
        <w:t>във функцията.</w:t>
      </w:r>
    </w:p>
    <w:p w14:paraId="2FC40C81"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bg-BG"/>
        </w:rPr>
      </w:pPr>
    </w:p>
    <w:p w14:paraId="0F207799"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ru-RU"/>
        </w:rPr>
      </w:pPr>
      <w:bookmarkStart w:id="82" w:name="_Toc409874552"/>
      <w:bookmarkStart w:id="83" w:name="_Toc499639781"/>
      <w:bookmarkStart w:id="84" w:name="_Toc500496077"/>
      <w:bookmarkStart w:id="85" w:name="_Toc500496423"/>
      <w:bookmarkStart w:id="86" w:name="_Toc503629624"/>
      <w:bookmarkStart w:id="87" w:name="_Toc61971776"/>
      <w:r w:rsidRPr="00E81A6E">
        <w:rPr>
          <w:rFonts w:ascii="Times New Roman" w:hAnsi="Times New Roman" w:cs="Times New Roman"/>
          <w:color w:val="auto"/>
          <w:sz w:val="24"/>
          <w:szCs w:val="24"/>
          <w:lang w:val="ru-RU"/>
        </w:rPr>
        <w:t>Функция “ Образование”</w:t>
      </w:r>
      <w:bookmarkEnd w:id="82"/>
      <w:bookmarkEnd w:id="83"/>
      <w:bookmarkEnd w:id="84"/>
      <w:bookmarkEnd w:id="85"/>
      <w:r w:rsidRPr="00E81A6E">
        <w:rPr>
          <w:rFonts w:ascii="Times New Roman" w:hAnsi="Times New Roman" w:cs="Times New Roman"/>
          <w:color w:val="auto"/>
          <w:sz w:val="24"/>
          <w:szCs w:val="24"/>
          <w:lang w:val="bg-BG"/>
        </w:rPr>
        <w:t xml:space="preserve"> - текущи разходи</w:t>
      </w:r>
      <w:bookmarkEnd w:id="86"/>
      <w:bookmarkEnd w:id="87"/>
      <w:r w:rsidRPr="00E81A6E">
        <w:rPr>
          <w:rFonts w:ascii="Times New Roman" w:hAnsi="Times New Roman" w:cs="Times New Roman"/>
          <w:color w:val="auto"/>
          <w:sz w:val="24"/>
          <w:szCs w:val="24"/>
          <w:lang w:val="ru-RU"/>
        </w:rPr>
        <w:t xml:space="preserve"> </w:t>
      </w:r>
    </w:p>
    <w:p w14:paraId="6B98EE0A" w14:textId="77777777" w:rsidR="00AE5481" w:rsidRPr="00E81A6E" w:rsidRDefault="00AE5481"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София е център на училищното образование. В класирането на зрелостните изпити</w:t>
      </w:r>
      <w:r w:rsidR="00205963" w:rsidRPr="00E81A6E">
        <w:rPr>
          <w:rFonts w:ascii="Times New Roman" w:hAnsi="Times New Roman" w:cs="Times New Roman"/>
          <w:sz w:val="24"/>
          <w:szCs w:val="24"/>
          <w:lang w:val="bg-BG"/>
        </w:rPr>
        <w:t>,</w:t>
      </w:r>
      <w:r w:rsidRPr="00E81A6E">
        <w:rPr>
          <w:rFonts w:ascii="Times New Roman" w:hAnsi="Times New Roman" w:cs="Times New Roman"/>
          <w:sz w:val="24"/>
          <w:szCs w:val="24"/>
          <w:lang w:val="bg-BG"/>
        </w:rPr>
        <w:t xml:space="preserve"> като относително точно мерило за постиженията на учениците в общината, столицата е безспор</w:t>
      </w:r>
      <w:r w:rsidR="00205963" w:rsidRPr="00E81A6E">
        <w:rPr>
          <w:rFonts w:ascii="Times New Roman" w:hAnsi="Times New Roman" w:cs="Times New Roman"/>
          <w:sz w:val="24"/>
          <w:szCs w:val="24"/>
          <w:lang w:val="bg-BG"/>
        </w:rPr>
        <w:t>е</w:t>
      </w:r>
      <w:r w:rsidRPr="00E81A6E">
        <w:rPr>
          <w:rFonts w:ascii="Times New Roman" w:hAnsi="Times New Roman" w:cs="Times New Roman"/>
          <w:sz w:val="24"/>
          <w:szCs w:val="24"/>
          <w:lang w:val="bg-BG"/>
        </w:rPr>
        <w:t xml:space="preserve">н лидер. Десетте училища с най-висок резултат на изпитите през 2020 г. са в София, а средната оценка по </w:t>
      </w:r>
      <w:r w:rsidRPr="00882664">
        <w:rPr>
          <w:rFonts w:ascii="Times New Roman" w:hAnsi="Times New Roman" w:cs="Times New Roman"/>
          <w:sz w:val="24"/>
          <w:szCs w:val="24"/>
          <w:lang w:val="bg-BG"/>
        </w:rPr>
        <w:t>български език и литература е много добър 4,63, спрямо 4,20 средно за страната. Средните оценки на зрелостния изпит по математика са дори по-високи – много доб</w:t>
      </w:r>
      <w:r w:rsidR="00205963" w:rsidRPr="00882664">
        <w:rPr>
          <w:rFonts w:ascii="Times New Roman" w:hAnsi="Times New Roman" w:cs="Times New Roman"/>
          <w:sz w:val="24"/>
          <w:szCs w:val="24"/>
          <w:lang w:val="bg-BG"/>
        </w:rPr>
        <w:t>ър 4,91. Д</w:t>
      </w:r>
      <w:r w:rsidRPr="00882664">
        <w:rPr>
          <w:rFonts w:ascii="Times New Roman" w:hAnsi="Times New Roman" w:cs="Times New Roman"/>
          <w:sz w:val="24"/>
          <w:szCs w:val="24"/>
          <w:lang w:val="bg-BG"/>
        </w:rPr>
        <w:t xml:space="preserve">оброто представяне на образователната система в столицата е изразено и в тройно по-ниския дял на отпадналите </w:t>
      </w:r>
      <w:r w:rsidR="007678BA" w:rsidRPr="00882664">
        <w:rPr>
          <w:rFonts w:ascii="Times New Roman" w:hAnsi="Times New Roman" w:cs="Times New Roman"/>
          <w:sz w:val="24"/>
          <w:szCs w:val="24"/>
          <w:lang w:val="bg-BG"/>
        </w:rPr>
        <w:t xml:space="preserve">и повтарящите годината </w:t>
      </w:r>
      <w:r w:rsidRPr="00882664">
        <w:rPr>
          <w:rFonts w:ascii="Times New Roman" w:hAnsi="Times New Roman" w:cs="Times New Roman"/>
          <w:sz w:val="24"/>
          <w:szCs w:val="24"/>
          <w:lang w:val="bg-BG"/>
        </w:rPr>
        <w:t>ученици в основното и средното образование, в сравнение със средните стойности в страната</w:t>
      </w:r>
      <w:r w:rsidRPr="00E81A6E">
        <w:rPr>
          <w:rFonts w:ascii="Times New Roman" w:hAnsi="Times New Roman" w:cs="Times New Roman"/>
          <w:sz w:val="24"/>
          <w:szCs w:val="24"/>
          <w:lang w:val="bg-BG"/>
        </w:rPr>
        <w:t>.</w:t>
      </w:r>
    </w:p>
    <w:p w14:paraId="64F0DE15" w14:textId="77777777" w:rsidR="00AE5481" w:rsidRPr="00E81A6E" w:rsidRDefault="00AE5481"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lastRenderedPageBreak/>
        <w:t>Общообразователните и специалните училища в София през учебната 2019/20 г. са 233, в тях учат 115 хиляди ученика</w:t>
      </w:r>
      <w:r w:rsidR="00BF1E9D" w:rsidRPr="00E81A6E">
        <w:rPr>
          <w:rFonts w:ascii="Times New Roman" w:hAnsi="Times New Roman" w:cs="Times New Roman"/>
          <w:sz w:val="24"/>
          <w:szCs w:val="24"/>
          <w:lang w:val="bg-BG"/>
        </w:rPr>
        <w:t>, от които общински училища 175, със 102,510 ученика</w:t>
      </w:r>
      <w:r w:rsidRPr="00E81A6E">
        <w:rPr>
          <w:rFonts w:ascii="Times New Roman" w:hAnsi="Times New Roman" w:cs="Times New Roman"/>
          <w:sz w:val="24"/>
          <w:szCs w:val="24"/>
          <w:lang w:val="bg-BG"/>
        </w:rPr>
        <w:t xml:space="preserve">. Общината е една от малкото, в които се разкриват нови училища, а броят на учениците расте през последните години, противно на общите тенденции в страната. При общото и специалното образование особено видим е ръстът в броя на преподавателите, като само между учебните 2017/18 и 2019/20 г. той е нараснал от 8148 до 9793 души. </w:t>
      </w:r>
      <w:r w:rsidR="009E524A" w:rsidRPr="00E81A6E">
        <w:rPr>
          <w:rFonts w:ascii="Times New Roman" w:hAnsi="Times New Roman" w:cs="Times New Roman"/>
          <w:sz w:val="24"/>
          <w:szCs w:val="24"/>
          <w:lang w:val="bg-BG"/>
        </w:rPr>
        <w:t>Предприемат се</w:t>
      </w:r>
      <w:r w:rsidRPr="00E81A6E">
        <w:rPr>
          <w:rFonts w:ascii="Times New Roman" w:hAnsi="Times New Roman" w:cs="Times New Roman"/>
          <w:sz w:val="24"/>
          <w:szCs w:val="24"/>
          <w:lang w:val="bg-BG"/>
        </w:rPr>
        <w:t xml:space="preserve"> мерки за привличане на млади кадри и повишаване на заплащането в системата на училищно образование.</w:t>
      </w:r>
    </w:p>
    <w:p w14:paraId="0784AD90"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w:t>
      </w:r>
      <w:r w:rsidR="009E524A" w:rsidRPr="00E81A6E">
        <w:rPr>
          <w:rFonts w:ascii="Times New Roman" w:hAnsi="Times New Roman" w:cs="Times New Roman"/>
          <w:sz w:val="24"/>
          <w:szCs w:val="24"/>
          <w:lang w:val="ru-RU"/>
        </w:rPr>
        <w:t xml:space="preserve">ъв </w:t>
      </w:r>
      <w:r w:rsidRPr="00E81A6E">
        <w:rPr>
          <w:rFonts w:ascii="Times New Roman" w:hAnsi="Times New Roman" w:cs="Times New Roman"/>
          <w:sz w:val="24"/>
          <w:szCs w:val="24"/>
          <w:lang w:val="ru-RU"/>
        </w:rPr>
        <w:t xml:space="preserve">функция </w:t>
      </w:r>
      <w:r w:rsidR="009E524A" w:rsidRPr="00E81A6E">
        <w:rPr>
          <w:rFonts w:ascii="Times New Roman" w:hAnsi="Times New Roman" w:cs="Times New Roman"/>
          <w:sz w:val="24"/>
          <w:szCs w:val="24"/>
          <w:lang w:val="ru-RU"/>
        </w:rPr>
        <w:t>«Образование»</w:t>
      </w:r>
      <w:r w:rsidR="00420DBB"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като </w:t>
      </w:r>
      <w:r w:rsidRPr="00E81A6E">
        <w:rPr>
          <w:rFonts w:ascii="Times New Roman" w:hAnsi="Times New Roman" w:cs="Times New Roman"/>
          <w:b/>
          <w:bCs/>
          <w:sz w:val="24"/>
          <w:szCs w:val="24"/>
          <w:lang w:val="ru-RU"/>
        </w:rPr>
        <w:t xml:space="preserve">делегирани </w:t>
      </w:r>
      <w:r w:rsidR="00205963" w:rsidRPr="00E81A6E">
        <w:rPr>
          <w:rFonts w:ascii="Times New Roman" w:hAnsi="Times New Roman" w:cs="Times New Roman"/>
          <w:b/>
          <w:bCs/>
          <w:sz w:val="24"/>
          <w:szCs w:val="24"/>
          <w:lang w:val="ru-RU"/>
        </w:rPr>
        <w:t xml:space="preserve">държавни </w:t>
      </w:r>
      <w:r w:rsidRPr="00E81A6E">
        <w:rPr>
          <w:rFonts w:ascii="Times New Roman" w:hAnsi="Times New Roman" w:cs="Times New Roman"/>
          <w:b/>
          <w:bCs/>
          <w:sz w:val="24"/>
          <w:szCs w:val="24"/>
          <w:lang w:val="ru-RU"/>
        </w:rPr>
        <w:t>дейности</w:t>
      </w:r>
      <w:r w:rsidRPr="00E81A6E">
        <w:rPr>
          <w:rFonts w:ascii="Times New Roman" w:hAnsi="Times New Roman" w:cs="Times New Roman"/>
          <w:sz w:val="24"/>
          <w:szCs w:val="24"/>
          <w:lang w:val="ru-RU"/>
        </w:rPr>
        <w:t xml:space="preserve"> са определени специалните </w:t>
      </w:r>
      <w:r w:rsidRPr="00E81A6E">
        <w:rPr>
          <w:rFonts w:ascii="Times New Roman" w:hAnsi="Times New Roman" w:cs="Times New Roman"/>
          <w:sz w:val="24"/>
          <w:szCs w:val="24"/>
          <w:lang w:val="bg-BG"/>
        </w:rPr>
        <w:t xml:space="preserve">групи в </w:t>
      </w:r>
      <w:r w:rsidRPr="00E81A6E">
        <w:rPr>
          <w:rFonts w:ascii="Times New Roman" w:hAnsi="Times New Roman" w:cs="Times New Roman"/>
          <w:sz w:val="24"/>
          <w:szCs w:val="24"/>
          <w:lang w:val="ru-RU"/>
        </w:rPr>
        <w:t>детски</w:t>
      </w:r>
      <w:r w:rsidRPr="00E81A6E">
        <w:rPr>
          <w:rFonts w:ascii="Times New Roman" w:hAnsi="Times New Roman" w:cs="Times New Roman"/>
          <w:sz w:val="24"/>
          <w:szCs w:val="24"/>
          <w:lang w:val="bg-BG"/>
        </w:rPr>
        <w:t>те</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градини </w:t>
      </w:r>
      <w:r w:rsidRPr="00E81A6E">
        <w:rPr>
          <w:rFonts w:ascii="Times New Roman" w:hAnsi="Times New Roman" w:cs="Times New Roman"/>
          <w:sz w:val="24"/>
          <w:szCs w:val="24"/>
          <w:lang w:val="bg-BG"/>
        </w:rPr>
        <w:t>за деца със специални образователни потребности,</w:t>
      </w:r>
      <w:r w:rsidRPr="00E81A6E">
        <w:rPr>
          <w:rFonts w:ascii="Times New Roman" w:hAnsi="Times New Roman" w:cs="Times New Roman"/>
          <w:sz w:val="24"/>
          <w:szCs w:val="24"/>
          <w:lang w:val="ru-RU"/>
        </w:rPr>
        <w:t xml:space="preserve"> подготв</w:t>
      </w:r>
      <w:r w:rsidRPr="00E81A6E">
        <w:rPr>
          <w:rFonts w:ascii="Times New Roman" w:hAnsi="Times New Roman" w:cs="Times New Roman"/>
          <w:sz w:val="24"/>
          <w:szCs w:val="24"/>
          <w:lang w:val="bg-BG"/>
        </w:rPr>
        <w:t>ителни групи в училищата</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неспециализираните</w:t>
      </w:r>
      <w:r w:rsidRPr="00E81A6E">
        <w:rPr>
          <w:rFonts w:ascii="Times New Roman" w:hAnsi="Times New Roman" w:cs="Times New Roman"/>
          <w:sz w:val="24"/>
          <w:szCs w:val="24"/>
          <w:lang w:val="ru-RU"/>
        </w:rPr>
        <w:t xml:space="preserve"> и спортни училища, професионалните паралелки и общежитията, а в частта за работна заплата</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осигурителни плащания</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 xml:space="preserve">и присъща издръжка за персонала </w:t>
      </w:r>
      <w:r w:rsidRPr="00E81A6E">
        <w:rPr>
          <w:rFonts w:ascii="Times New Roman" w:hAnsi="Times New Roman" w:cs="Times New Roman"/>
          <w:sz w:val="24"/>
          <w:szCs w:val="24"/>
          <w:lang w:val="ru-RU"/>
        </w:rPr>
        <w:t>- детски</w:t>
      </w:r>
      <w:r w:rsidRPr="00E81A6E">
        <w:rPr>
          <w:rFonts w:ascii="Times New Roman" w:hAnsi="Times New Roman" w:cs="Times New Roman"/>
          <w:sz w:val="24"/>
          <w:szCs w:val="24"/>
          <w:lang w:val="bg-BG"/>
        </w:rPr>
        <w:t>те</w:t>
      </w:r>
      <w:r w:rsidRPr="00E81A6E">
        <w:rPr>
          <w:rFonts w:ascii="Times New Roman" w:hAnsi="Times New Roman" w:cs="Times New Roman"/>
          <w:sz w:val="24"/>
          <w:szCs w:val="24"/>
          <w:lang w:val="ru-RU"/>
        </w:rPr>
        <w:t xml:space="preserve"> градини</w:t>
      </w:r>
      <w:r w:rsidRPr="00E81A6E">
        <w:rPr>
          <w:rFonts w:ascii="Times New Roman" w:hAnsi="Times New Roman" w:cs="Times New Roman"/>
          <w:sz w:val="24"/>
          <w:szCs w:val="24"/>
          <w:lang w:val="bg-BG"/>
        </w:rPr>
        <w:t xml:space="preserve"> и центровете за подкрепа на личностното развитие</w:t>
      </w:r>
      <w:r w:rsidRPr="00E81A6E">
        <w:rPr>
          <w:rFonts w:ascii="Times New Roman" w:hAnsi="Times New Roman" w:cs="Times New Roman"/>
          <w:sz w:val="24"/>
          <w:szCs w:val="24"/>
          <w:lang w:val="ru-RU"/>
        </w:rPr>
        <w:t>.</w:t>
      </w:r>
    </w:p>
    <w:p w14:paraId="0803304D" w14:textId="77777777" w:rsidR="0042262E" w:rsidRPr="00E81A6E" w:rsidRDefault="0042262E"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Със средства от държавния бюджет се финансират изцяло или частично следните дейности:</w:t>
      </w:r>
    </w:p>
    <w:p w14:paraId="7D60BC48" w14:textId="77777777" w:rsidR="0042262E" w:rsidRPr="00E81A6E" w:rsidRDefault="0042262E"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Детски градини – целодневни групи за деца от 2 до 4 години, яслени групи, специални групи за деца с умствена изостаналост, нарушено зрение, езиково-говорни нарушения и увреден слух – разходи за персонал, вкл. средствата за представително облекло и средствата по чл. 4 и 25 от Закона за здравословни и безопасни условия на труд;</w:t>
      </w:r>
    </w:p>
    <w:p w14:paraId="03240CD9" w14:textId="77777777" w:rsidR="0042262E" w:rsidRPr="00E81A6E" w:rsidRDefault="0042262E"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Подготвителни полудневни и целодневни групи за задължителна предучилищна подготовка в детска градина или в училище – разходи за персонал и присъща издръжка, без разходи за храна;</w:t>
      </w:r>
    </w:p>
    <w:p w14:paraId="190D8985" w14:textId="77777777" w:rsidR="0042262E" w:rsidRPr="00E81A6E" w:rsidRDefault="0042262E"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Неспециализирани училища, професионални гимназии и паралелки за професионална подготовка</w:t>
      </w:r>
      <w:r w:rsidR="009A08F0" w:rsidRPr="00E81A6E">
        <w:rPr>
          <w:rFonts w:ascii="Times New Roman" w:hAnsi="Times New Roman" w:cs="Times New Roman"/>
          <w:sz w:val="24"/>
          <w:szCs w:val="24"/>
          <w:lang w:val="bg-BG" w:eastAsia="bg-BG"/>
        </w:rPr>
        <w:t>,</w:t>
      </w:r>
      <w:r w:rsidR="00662113" w:rsidRPr="00E81A6E">
        <w:rPr>
          <w:rFonts w:ascii="Times New Roman" w:hAnsi="Times New Roman" w:cs="Times New Roman"/>
          <w:sz w:val="24"/>
          <w:szCs w:val="24"/>
          <w:lang w:val="bg-BG" w:eastAsia="bg-BG"/>
        </w:rPr>
        <w:t xml:space="preserve"> и спортни училища</w:t>
      </w:r>
      <w:r w:rsidRPr="00E81A6E">
        <w:rPr>
          <w:rFonts w:ascii="Times New Roman" w:hAnsi="Times New Roman" w:cs="Times New Roman"/>
          <w:sz w:val="24"/>
          <w:szCs w:val="24"/>
          <w:lang w:val="bg-BG" w:eastAsia="bg-BG"/>
        </w:rPr>
        <w:t>;</w:t>
      </w:r>
    </w:p>
    <w:p w14:paraId="37617EFF" w14:textId="77777777" w:rsidR="00307967" w:rsidRPr="00E81A6E" w:rsidRDefault="00307967" w:rsidP="00F55B06">
      <w:pPr>
        <w:widowControl w:val="0"/>
        <w:autoSpaceDE w:val="0"/>
        <w:autoSpaceDN w:val="0"/>
        <w:adjustRightInd w:val="0"/>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подкрепа за личностно развитие:</w:t>
      </w:r>
    </w:p>
    <w:p w14:paraId="3251D8A6" w14:textId="77777777" w:rsidR="00307967" w:rsidRPr="00E81A6E" w:rsidRDefault="00307967" w:rsidP="00350B12">
      <w:pPr>
        <w:pStyle w:val="ListParagraph"/>
        <w:widowControl w:val="0"/>
        <w:numPr>
          <w:ilvl w:val="0"/>
          <w:numId w:val="23"/>
        </w:numPr>
        <w:autoSpaceDE w:val="0"/>
        <w:autoSpaceDN w:val="0"/>
        <w:adjustRightInd w:val="0"/>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ученически общежития;</w:t>
      </w:r>
    </w:p>
    <w:p w14:paraId="08F1343F" w14:textId="77777777" w:rsidR="009A08F0" w:rsidRPr="00E81A6E" w:rsidRDefault="00307967" w:rsidP="00350B12">
      <w:pPr>
        <w:pStyle w:val="ListParagraph"/>
        <w:widowControl w:val="0"/>
        <w:numPr>
          <w:ilvl w:val="0"/>
          <w:numId w:val="22"/>
        </w:numPr>
        <w:autoSpaceDE w:val="0"/>
        <w:autoSpaceDN w:val="0"/>
        <w:adjustRightInd w:val="0"/>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дейности за развитие на интересите, способностите, компетентностите и изявата в областта на науките, технологиите, изкуствата и спорта на децата и учениците и за  кариерно ориентиране, осъществявани от центровете за подкрепа за личностно развитие – частично разходи за персонал и присъща издръжка;</w:t>
      </w:r>
    </w:p>
    <w:p w14:paraId="286E037E" w14:textId="77777777" w:rsidR="00307967" w:rsidRPr="00E81A6E" w:rsidRDefault="00307967" w:rsidP="00F55B06">
      <w:pPr>
        <w:widowControl w:val="0"/>
        <w:autoSpaceDE w:val="0"/>
        <w:autoSpaceDN w:val="0"/>
        <w:adjustRightInd w:val="0"/>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Дейности за ресурсно подпомагане на деца и ученици със специални образователни потребности;</w:t>
      </w:r>
    </w:p>
    <w:p w14:paraId="1F88D1DE" w14:textId="77777777" w:rsidR="00307967" w:rsidRPr="00E81A6E" w:rsidRDefault="00307967"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Други дейности по образованието - за превоз на деца и ученици по чл. 283, ал. 2 от Закона за предучилищното и училищното образование.</w:t>
      </w:r>
    </w:p>
    <w:p w14:paraId="5EE7E400" w14:textId="77777777" w:rsidR="006F5B92" w:rsidRPr="00E81A6E" w:rsidRDefault="00891B18"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rPr>
        <w:t>Съгласно</w:t>
      </w:r>
      <w:r w:rsidR="006F5B92" w:rsidRPr="00E81A6E">
        <w:rPr>
          <w:rFonts w:ascii="Times New Roman" w:hAnsi="Times New Roman" w:cs="Times New Roman"/>
          <w:sz w:val="24"/>
          <w:szCs w:val="24"/>
          <w:lang w:val="bg-BG"/>
        </w:rPr>
        <w:t xml:space="preserve"> стандартите за финансиране на делегираните от държавата дейности със средства от държавния бюджет</w:t>
      </w:r>
      <w:r w:rsidRPr="00E81A6E">
        <w:rPr>
          <w:rFonts w:ascii="Times New Roman" w:hAnsi="Times New Roman" w:cs="Times New Roman"/>
          <w:sz w:val="24"/>
          <w:szCs w:val="24"/>
          <w:lang w:val="bg-BG"/>
        </w:rPr>
        <w:t>,</w:t>
      </w:r>
      <w:r w:rsidR="006F5B92"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д</w:t>
      </w:r>
      <w:r w:rsidR="006F5B92" w:rsidRPr="00E81A6E">
        <w:rPr>
          <w:rFonts w:ascii="Times New Roman" w:hAnsi="Times New Roman" w:cs="Times New Roman"/>
          <w:sz w:val="24"/>
          <w:szCs w:val="24"/>
          <w:lang w:val="bg-BG"/>
        </w:rPr>
        <w:t>ейностите по възпитание и обучение на децата и учениците се финансират по стандарти за дете или ученик, стандарти за група/паралелка и стандарти за институция.</w:t>
      </w:r>
      <w:r w:rsidR="00A66331" w:rsidRPr="00E81A6E">
        <w:rPr>
          <w:rFonts w:ascii="Times New Roman" w:hAnsi="Times New Roman" w:cs="Times New Roman"/>
          <w:sz w:val="24"/>
          <w:szCs w:val="24"/>
          <w:lang w:val="bg-BG"/>
        </w:rPr>
        <w:t xml:space="preserve"> </w:t>
      </w:r>
      <w:r w:rsidR="00A66331" w:rsidRPr="00E81A6E">
        <w:rPr>
          <w:rFonts w:ascii="Times New Roman" w:hAnsi="Times New Roman" w:cs="Times New Roman"/>
          <w:sz w:val="24"/>
          <w:szCs w:val="24"/>
          <w:lang w:val="bg-BG" w:eastAsia="bg-BG"/>
        </w:rPr>
        <w:t>Кметът на общината определя числеността на персонала за делегираните от държавата дейности във функция „Образование”, с изключение на училищата, детските градини и центровете за подкрепа за личностно развитие, които прилагат система на делегирани бюджети, в рамките на средствата, определени по стандартите.</w:t>
      </w:r>
    </w:p>
    <w:p w14:paraId="0122B03E"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bg-BG" w:eastAsia="bg-BG"/>
        </w:rPr>
      </w:pPr>
    </w:p>
    <w:p w14:paraId="2ACFDEA4" w14:textId="77777777" w:rsidR="00DF3597" w:rsidRPr="00E81A6E" w:rsidRDefault="00DF3597"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Нови моменти в Закона за предучилищното и училищното образование, в сила от 1 януари 2021г.:</w:t>
      </w:r>
    </w:p>
    <w:p w14:paraId="039D0230" w14:textId="77777777" w:rsidR="000528E0" w:rsidRPr="00E81A6E" w:rsidRDefault="000528E0" w:rsidP="00350B12">
      <w:pPr>
        <w:pStyle w:val="ListParagraph"/>
        <w:numPr>
          <w:ilvl w:val="0"/>
          <w:numId w:val="6"/>
        </w:numPr>
        <w:suppressAutoHyphens/>
        <w:autoSpaceDN w:val="0"/>
        <w:spacing w:after="0" w:line="240" w:lineRule="auto"/>
        <w:ind w:left="0" w:firstLine="720"/>
        <w:contextualSpacing/>
        <w:jc w:val="both"/>
        <w:textAlignment w:val="baseline"/>
        <w:rPr>
          <w:rFonts w:ascii="Times New Roman" w:hAnsi="Times New Roman" w:cs="Times New Roman"/>
          <w:sz w:val="24"/>
          <w:szCs w:val="24"/>
        </w:rPr>
      </w:pPr>
      <w:r w:rsidRPr="00E81A6E">
        <w:rPr>
          <w:rFonts w:ascii="Times New Roman" w:hAnsi="Times New Roman" w:cs="Times New Roman"/>
          <w:b/>
          <w:sz w:val="24"/>
          <w:szCs w:val="24"/>
        </w:rPr>
        <w:t xml:space="preserve">Подпомагане от държавата на заплащането на такси, дължими от родителите за дейностите по хранене на децата в задължителното предучилищно </w:t>
      </w:r>
      <w:r w:rsidRPr="00E81A6E">
        <w:rPr>
          <w:rFonts w:ascii="Times New Roman" w:hAnsi="Times New Roman" w:cs="Times New Roman"/>
          <w:b/>
          <w:sz w:val="24"/>
          <w:szCs w:val="24"/>
        </w:rPr>
        <w:lastRenderedPageBreak/>
        <w:t>образование, осъществявано от общинските детски градини и училища</w:t>
      </w:r>
      <w:r w:rsidR="00993C22" w:rsidRPr="00E81A6E">
        <w:rPr>
          <w:rFonts w:ascii="Times New Roman" w:hAnsi="Times New Roman" w:cs="Times New Roman"/>
          <w:sz w:val="24"/>
          <w:szCs w:val="24"/>
          <w:lang w:val="bg-BG"/>
        </w:rPr>
        <w:t>.</w:t>
      </w:r>
      <w:r w:rsidRPr="00E81A6E">
        <w:rPr>
          <w:rFonts w:ascii="Times New Roman" w:hAnsi="Times New Roman" w:cs="Times New Roman"/>
          <w:sz w:val="24"/>
          <w:szCs w:val="24"/>
        </w:rPr>
        <w:t xml:space="preserve"> Средствата от държавния бюджет за подпомагане на заплащането на дължими от родителите такси се предоставят по бюджета на </w:t>
      </w:r>
      <w:r w:rsidR="009242FB" w:rsidRPr="00E81A6E">
        <w:rPr>
          <w:rFonts w:ascii="Times New Roman" w:hAnsi="Times New Roman" w:cs="Times New Roman"/>
          <w:sz w:val="24"/>
          <w:szCs w:val="24"/>
          <w:lang w:val="bg-BG"/>
        </w:rPr>
        <w:t xml:space="preserve">общината </w:t>
      </w:r>
      <w:r w:rsidR="009242FB" w:rsidRPr="00E81A6E">
        <w:rPr>
          <w:rFonts w:ascii="Times New Roman" w:hAnsi="Times New Roman" w:cs="Times New Roman"/>
          <w:sz w:val="24"/>
          <w:szCs w:val="24"/>
        </w:rPr>
        <w:t>за общинските училища</w:t>
      </w:r>
      <w:r w:rsidRPr="00E81A6E">
        <w:rPr>
          <w:rFonts w:ascii="Times New Roman" w:hAnsi="Times New Roman" w:cs="Times New Roman"/>
          <w:sz w:val="24"/>
          <w:szCs w:val="24"/>
        </w:rPr>
        <w:t>.</w:t>
      </w:r>
    </w:p>
    <w:p w14:paraId="3969AACA" w14:textId="77777777" w:rsidR="000528E0" w:rsidRPr="00E81A6E" w:rsidRDefault="00205963"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Столична община</w:t>
      </w:r>
      <w:r w:rsidR="000528E0" w:rsidRPr="00E81A6E">
        <w:rPr>
          <w:rFonts w:ascii="Times New Roman" w:hAnsi="Times New Roman" w:cs="Times New Roman"/>
          <w:sz w:val="24"/>
          <w:szCs w:val="24"/>
        </w:rPr>
        <w:t xml:space="preserve"> е длъжн</w:t>
      </w:r>
      <w:r w:rsidRPr="00E81A6E">
        <w:rPr>
          <w:rFonts w:ascii="Times New Roman" w:hAnsi="Times New Roman" w:cs="Times New Roman"/>
          <w:sz w:val="24"/>
          <w:szCs w:val="24"/>
          <w:lang w:val="bg-BG"/>
        </w:rPr>
        <w:t>а</w:t>
      </w:r>
      <w:r w:rsidR="000528E0" w:rsidRPr="00E81A6E">
        <w:rPr>
          <w:rFonts w:ascii="Times New Roman" w:hAnsi="Times New Roman" w:cs="Times New Roman"/>
          <w:sz w:val="24"/>
          <w:szCs w:val="24"/>
        </w:rPr>
        <w:t xml:space="preserve"> да осигури пълно подпомагане на заплащането на такси, дължими от родителите за дейностите по хранене на децата в задължителното предучилищно образование</w:t>
      </w:r>
      <w:r w:rsidRPr="00E81A6E">
        <w:rPr>
          <w:rFonts w:ascii="Times New Roman" w:hAnsi="Times New Roman" w:cs="Times New Roman"/>
          <w:sz w:val="24"/>
          <w:szCs w:val="24"/>
          <w:lang w:val="bg-BG"/>
        </w:rPr>
        <w:t>,</w:t>
      </w:r>
      <w:r w:rsidR="000528E0" w:rsidRPr="00E81A6E">
        <w:rPr>
          <w:rFonts w:ascii="Times New Roman" w:hAnsi="Times New Roman" w:cs="Times New Roman"/>
          <w:sz w:val="24"/>
          <w:szCs w:val="24"/>
        </w:rPr>
        <w:t xml:space="preserve"> с не по-малко от 50 на сто от предоставените за целта средства.</w:t>
      </w:r>
    </w:p>
    <w:p w14:paraId="25C9E42F" w14:textId="77777777" w:rsidR="000528E0" w:rsidRPr="00E81A6E" w:rsidRDefault="000528E0"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rPr>
        <w:t xml:space="preserve">Размерът на средствата и механизмът за тяхното разпределение по общини са регламентирани в Решение № 790 на Министерски съвет от 30 октомври 2020 г. – на общините се предоставят по 174 лв. за всяко дете в задължителна предучилищна възраст, записано в целодневна или полудневна форма на организация в детската градина или в училището.  </w:t>
      </w:r>
    </w:p>
    <w:p w14:paraId="4D43A44F" w14:textId="77777777" w:rsidR="000528E0" w:rsidRPr="00E81A6E" w:rsidRDefault="000528E0" w:rsidP="00F55B06">
      <w:pPr>
        <w:spacing w:after="0" w:line="240" w:lineRule="auto"/>
        <w:ind w:firstLine="720"/>
        <w:contextualSpacing/>
        <w:jc w:val="both"/>
        <w:outlineLvl w:val="2"/>
        <w:rPr>
          <w:rFonts w:ascii="Times New Roman" w:hAnsi="Times New Roman" w:cs="Times New Roman"/>
          <w:sz w:val="24"/>
          <w:szCs w:val="24"/>
        </w:rPr>
      </w:pPr>
      <w:bookmarkStart w:id="88" w:name="_Toc60017863"/>
      <w:bookmarkStart w:id="89" w:name="_Toc60148348"/>
      <w:bookmarkStart w:id="90" w:name="_Toc61971777"/>
      <w:r w:rsidRPr="00E81A6E">
        <w:rPr>
          <w:rFonts w:ascii="Times New Roman" w:hAnsi="Times New Roman" w:cs="Times New Roman"/>
          <w:sz w:val="24"/>
          <w:szCs w:val="24"/>
        </w:rPr>
        <w:t>В изпълнение на чл. 283, ал.1, т.10, ал. 9, ал.10, т.1 и ал.11 от Закона за предучилищното и училищното образовани</w:t>
      </w:r>
      <w:r w:rsidR="00D67C2C" w:rsidRPr="00E81A6E">
        <w:rPr>
          <w:rFonts w:ascii="Times New Roman" w:hAnsi="Times New Roman" w:cs="Times New Roman"/>
          <w:sz w:val="24"/>
          <w:szCs w:val="24"/>
        </w:rPr>
        <w:t>е, общинските съвети</w:t>
      </w:r>
      <w:r w:rsidRPr="00E81A6E">
        <w:rPr>
          <w:rFonts w:ascii="Times New Roman" w:hAnsi="Times New Roman" w:cs="Times New Roman"/>
          <w:sz w:val="24"/>
          <w:szCs w:val="24"/>
        </w:rPr>
        <w:t xml:space="preserve"> следва да изменят Наредбата за определяне и администриране на местни такси и цени на услуги, предоставяни от общината, като </w:t>
      </w:r>
      <w:bookmarkStart w:id="91" w:name="p12249792"/>
      <w:bookmarkEnd w:id="91"/>
      <w:r w:rsidRPr="00E81A6E">
        <w:rPr>
          <w:rFonts w:ascii="Times New Roman" w:hAnsi="Times New Roman" w:cs="Times New Roman"/>
          <w:sz w:val="24"/>
          <w:szCs w:val="24"/>
        </w:rPr>
        <w:t>утвърдят критерии за това подпомагане.</w:t>
      </w:r>
      <w:bookmarkEnd w:id="88"/>
      <w:bookmarkEnd w:id="89"/>
      <w:bookmarkEnd w:id="90"/>
    </w:p>
    <w:p w14:paraId="37033E3F" w14:textId="77777777" w:rsidR="00BF42A3" w:rsidRPr="00E81A6E" w:rsidRDefault="00BF42A3" w:rsidP="00F55B06">
      <w:pPr>
        <w:spacing w:after="0" w:line="240" w:lineRule="auto"/>
        <w:ind w:firstLine="720"/>
        <w:contextualSpacing/>
        <w:jc w:val="both"/>
        <w:outlineLvl w:val="2"/>
        <w:rPr>
          <w:rFonts w:ascii="Times New Roman" w:hAnsi="Times New Roman" w:cs="Times New Roman"/>
          <w:sz w:val="24"/>
          <w:szCs w:val="24"/>
        </w:rPr>
      </w:pPr>
    </w:p>
    <w:p w14:paraId="1277BEAC" w14:textId="77777777" w:rsidR="000528E0" w:rsidRPr="00E81A6E" w:rsidRDefault="000528E0" w:rsidP="00350B12">
      <w:pPr>
        <w:pStyle w:val="ListParagraph"/>
        <w:numPr>
          <w:ilvl w:val="0"/>
          <w:numId w:val="6"/>
        </w:numPr>
        <w:suppressAutoHyphens/>
        <w:autoSpaceDN w:val="0"/>
        <w:spacing w:after="0" w:line="240" w:lineRule="auto"/>
        <w:ind w:left="0" w:firstLine="720"/>
        <w:contextualSpacing/>
        <w:jc w:val="both"/>
        <w:textAlignment w:val="baseline"/>
        <w:rPr>
          <w:rFonts w:ascii="Times New Roman" w:hAnsi="Times New Roman" w:cs="Times New Roman"/>
          <w:sz w:val="24"/>
          <w:szCs w:val="24"/>
        </w:rPr>
      </w:pPr>
      <w:r w:rsidRPr="00E81A6E">
        <w:rPr>
          <w:rFonts w:ascii="Times New Roman" w:hAnsi="Times New Roman" w:cs="Times New Roman"/>
          <w:b/>
          <w:sz w:val="24"/>
          <w:szCs w:val="24"/>
        </w:rPr>
        <w:t>Предоставяне от държавата на средства за родителите на деца от тригодишна възраст до постъпването им в I клас за компенсиране на разходите, пряко свързани с отглеждането и обучението им</w:t>
      </w:r>
      <w:r w:rsidRPr="00E81A6E">
        <w:rPr>
          <w:rFonts w:ascii="Times New Roman" w:hAnsi="Times New Roman" w:cs="Times New Roman"/>
          <w:sz w:val="24"/>
          <w:szCs w:val="24"/>
        </w:rPr>
        <w:t>, когато:</w:t>
      </w:r>
    </w:p>
    <w:p w14:paraId="16DA806A" w14:textId="77777777" w:rsidR="000528E0" w:rsidRPr="00E81A6E" w:rsidRDefault="000528E0" w:rsidP="00350B12">
      <w:pPr>
        <w:pStyle w:val="ListParagraph"/>
        <w:numPr>
          <w:ilvl w:val="0"/>
          <w:numId w:val="22"/>
        </w:numPr>
        <w:suppressAutoHyphens/>
        <w:autoSpaceDN w:val="0"/>
        <w:spacing w:after="0" w:line="240" w:lineRule="auto"/>
        <w:contextualSpacing/>
        <w:jc w:val="both"/>
        <w:textAlignment w:val="baseline"/>
        <w:rPr>
          <w:rFonts w:ascii="Times New Roman" w:hAnsi="Times New Roman" w:cs="Times New Roman"/>
          <w:sz w:val="24"/>
          <w:szCs w:val="24"/>
        </w:rPr>
      </w:pPr>
      <w:r w:rsidRPr="00E81A6E">
        <w:rPr>
          <w:rFonts w:ascii="Times New Roman" w:hAnsi="Times New Roman" w:cs="Times New Roman"/>
          <w:sz w:val="24"/>
          <w:szCs w:val="24"/>
        </w:rPr>
        <w:t>детето не е прието за съответната учебна година, поради липса на свободни места за целодневна или полудневна организация на предучилищното образование в държавна или общинска детска градина или училище, за които е кандидатствало;</w:t>
      </w:r>
    </w:p>
    <w:p w14:paraId="577D1143" w14:textId="77777777" w:rsidR="000528E0" w:rsidRPr="00E81A6E" w:rsidRDefault="00DB4057" w:rsidP="00350B12">
      <w:pPr>
        <w:pStyle w:val="ListParagraph"/>
        <w:numPr>
          <w:ilvl w:val="0"/>
          <w:numId w:val="22"/>
        </w:numPr>
        <w:suppressAutoHyphens/>
        <w:autoSpaceDN w:val="0"/>
        <w:spacing w:after="0" w:line="240" w:lineRule="auto"/>
        <w:contextualSpacing/>
        <w:jc w:val="both"/>
        <w:textAlignment w:val="baseline"/>
        <w:rPr>
          <w:rFonts w:ascii="Times New Roman" w:hAnsi="Times New Roman" w:cs="Times New Roman"/>
          <w:sz w:val="24"/>
          <w:szCs w:val="24"/>
        </w:rPr>
      </w:pPr>
      <w:r w:rsidRPr="00E81A6E">
        <w:rPr>
          <w:rFonts w:ascii="Times New Roman" w:hAnsi="Times New Roman" w:cs="Times New Roman"/>
          <w:sz w:val="24"/>
          <w:szCs w:val="24"/>
          <w:lang w:val="bg-BG"/>
        </w:rPr>
        <w:t xml:space="preserve">на детето </w:t>
      </w:r>
      <w:r w:rsidR="000528E0" w:rsidRPr="00E81A6E">
        <w:rPr>
          <w:rFonts w:ascii="Times New Roman" w:hAnsi="Times New Roman" w:cs="Times New Roman"/>
          <w:sz w:val="24"/>
          <w:szCs w:val="24"/>
        </w:rPr>
        <w:t>не е предложено от общината по местоживеене друго равностойно място в общинска детска градина или училище.</w:t>
      </w:r>
    </w:p>
    <w:p w14:paraId="740C1E5D" w14:textId="77777777" w:rsidR="000528E0" w:rsidRPr="00E81A6E" w:rsidRDefault="000528E0" w:rsidP="00F55B06">
      <w:pPr>
        <w:pStyle w:val="BodyText"/>
        <w:spacing w:line="24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Месечният размер на тези компенсации за едно дете не може да надвишава средния месечен размер на средствата от държавния бюджет за издръжката на дете в предучилищното образование в общинските детски градини и училища за съответната календарна година, който се определя със заповед на министъра на образованието и науката. Заповедта се публикува на интернет страницата на Министерството на образованието и науката.</w:t>
      </w:r>
    </w:p>
    <w:p w14:paraId="0FF5CCA0" w14:textId="77777777" w:rsidR="000528E0" w:rsidRPr="00E81A6E" w:rsidRDefault="000528E0" w:rsidP="00F55B06">
      <w:pPr>
        <w:pStyle w:val="BodyText"/>
        <w:spacing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rPr>
        <w:t>Компенсациите се изплащат на родителя в размер на действително извършените разходи за отглеждане и обучение за всеки месец, но не повече от размера, определен с цитираната заповед. Средствата се изплащат до приемането на детето в държавна или общинска детска градина или училище. Условията и редът за предоставяне и изплащане на тези средства се определят с наредба на Министерски съвет.</w:t>
      </w:r>
    </w:p>
    <w:p w14:paraId="63B7CCE5" w14:textId="77777777" w:rsidR="000528E0" w:rsidRPr="00E81A6E" w:rsidRDefault="000528E0" w:rsidP="00F55B06">
      <w:pPr>
        <w:pStyle w:val="BodyText"/>
        <w:spacing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rPr>
        <w:t xml:space="preserve">Първостепенните разпоредители с бюджет не могат да финансират разходи на институции извън системата на предучилищното и училищното образование за сметка на предоставените им средства, на базата на Решението на Министерски съвет за определяне размерите на стандартите за издръжка на делегираните държавни дейности.  </w:t>
      </w:r>
    </w:p>
    <w:p w14:paraId="1D3C64EE" w14:textId="77777777" w:rsidR="00F548CA" w:rsidRPr="00E81A6E" w:rsidRDefault="00F548CA" w:rsidP="00F55B06">
      <w:pPr>
        <w:pStyle w:val="BodyText"/>
        <w:spacing w:line="240" w:lineRule="auto"/>
        <w:ind w:firstLine="720"/>
        <w:contextualSpacing/>
        <w:rPr>
          <w:rFonts w:ascii="Times New Roman" w:hAnsi="Times New Roman" w:cs="Times New Roman"/>
          <w:sz w:val="24"/>
          <w:szCs w:val="24"/>
          <w:lang w:val="bg-BG"/>
        </w:rPr>
      </w:pPr>
    </w:p>
    <w:p w14:paraId="30F8BBFA" w14:textId="06DB03AD"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sz w:val="24"/>
          <w:szCs w:val="24"/>
          <w:lang w:val="ru-RU"/>
        </w:rPr>
        <w:t>Всичко за функция</w:t>
      </w:r>
      <w:r w:rsidR="000528E0" w:rsidRPr="00E81A6E">
        <w:rPr>
          <w:rFonts w:ascii="Times New Roman" w:hAnsi="Times New Roman" w:cs="Times New Roman"/>
          <w:b/>
          <w:sz w:val="24"/>
          <w:szCs w:val="24"/>
          <w:lang w:val="ru-RU"/>
        </w:rPr>
        <w:t xml:space="preserve"> «Образование»</w:t>
      </w:r>
      <w:r w:rsidRPr="00E81A6E">
        <w:rPr>
          <w:rFonts w:ascii="Times New Roman" w:hAnsi="Times New Roman" w:cs="Times New Roman"/>
          <w:b/>
          <w:sz w:val="24"/>
          <w:szCs w:val="24"/>
          <w:lang w:val="bg-BG"/>
        </w:rPr>
        <w:t xml:space="preserve"> за текущи разходи</w:t>
      </w:r>
      <w:r w:rsidRPr="00E81A6E">
        <w:rPr>
          <w:rFonts w:ascii="Times New Roman" w:hAnsi="Times New Roman" w:cs="Times New Roman"/>
          <w:sz w:val="24"/>
          <w:szCs w:val="24"/>
          <w:lang w:val="ru-RU"/>
        </w:rPr>
        <w:t xml:space="preserve"> </w:t>
      </w:r>
      <w:r w:rsidR="00F548CA" w:rsidRPr="00E81A6E">
        <w:rPr>
          <w:rFonts w:ascii="Times New Roman" w:hAnsi="Times New Roman" w:cs="Times New Roman"/>
          <w:sz w:val="24"/>
          <w:szCs w:val="24"/>
          <w:lang w:val="ru-RU"/>
        </w:rPr>
        <w:t xml:space="preserve">за 2021 г. </w:t>
      </w:r>
      <w:r w:rsidRPr="00E81A6E">
        <w:rPr>
          <w:rFonts w:ascii="Times New Roman" w:hAnsi="Times New Roman" w:cs="Times New Roman"/>
          <w:sz w:val="24"/>
          <w:szCs w:val="24"/>
          <w:lang w:val="ru-RU"/>
        </w:rPr>
        <w:t>са разчетени</w:t>
      </w:r>
      <w:r w:rsidRPr="00E81A6E">
        <w:rPr>
          <w:rFonts w:ascii="Times New Roman" w:hAnsi="Times New Roman" w:cs="Times New Roman"/>
          <w:b/>
          <w:bCs/>
          <w:sz w:val="24"/>
          <w:szCs w:val="24"/>
          <w:lang w:val="ru-RU"/>
        </w:rPr>
        <w:t xml:space="preserve"> </w:t>
      </w:r>
      <w:r w:rsidR="00C92CCA" w:rsidRPr="00E81A6E">
        <w:rPr>
          <w:rFonts w:ascii="Times New Roman" w:hAnsi="Times New Roman" w:cs="Times New Roman"/>
          <w:b/>
          <w:bCs/>
          <w:sz w:val="24"/>
          <w:szCs w:val="24"/>
          <w:lang w:val="ru-RU"/>
        </w:rPr>
        <w:t>56</w:t>
      </w:r>
      <w:r w:rsidR="00641DCB">
        <w:rPr>
          <w:rFonts w:ascii="Times New Roman" w:hAnsi="Times New Roman" w:cs="Times New Roman"/>
          <w:b/>
          <w:bCs/>
          <w:sz w:val="24"/>
          <w:szCs w:val="24"/>
          <w:lang w:val="ru-RU"/>
        </w:rPr>
        <w:t>5</w:t>
      </w:r>
      <w:r w:rsidRPr="00E81A6E">
        <w:rPr>
          <w:rFonts w:ascii="Times New Roman" w:hAnsi="Times New Roman" w:cs="Times New Roman"/>
          <w:b/>
          <w:bCs/>
          <w:sz w:val="24"/>
          <w:szCs w:val="24"/>
          <w:lang w:val="bg-BG"/>
        </w:rPr>
        <w:t>,</w:t>
      </w:r>
      <w:r w:rsidR="00641DCB">
        <w:rPr>
          <w:rFonts w:ascii="Times New Roman" w:hAnsi="Times New Roman" w:cs="Times New Roman"/>
          <w:b/>
          <w:bCs/>
          <w:sz w:val="24"/>
          <w:szCs w:val="24"/>
          <w:lang w:val="bg-BG"/>
        </w:rPr>
        <w:t>417</w:t>
      </w:r>
      <w:r w:rsidRPr="00E81A6E">
        <w:rPr>
          <w:rFonts w:ascii="Times New Roman" w:hAnsi="Times New Roman" w:cs="Times New Roman"/>
          <w:b/>
          <w:bCs/>
          <w:sz w:val="24"/>
          <w:szCs w:val="24"/>
          <w:lang w:val="bg-BG"/>
        </w:rPr>
        <w:t>,</w:t>
      </w:r>
      <w:r w:rsidR="00641DCB">
        <w:rPr>
          <w:rFonts w:ascii="Times New Roman" w:hAnsi="Times New Roman" w:cs="Times New Roman"/>
          <w:b/>
          <w:bCs/>
          <w:sz w:val="24"/>
          <w:szCs w:val="24"/>
          <w:lang w:val="bg-BG"/>
        </w:rPr>
        <w:t>821</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ru-RU"/>
        </w:rPr>
        <w:t xml:space="preserve">от които за делегирани държавни дейности </w:t>
      </w:r>
      <w:r w:rsidR="00C92CCA" w:rsidRPr="00E81A6E">
        <w:rPr>
          <w:rFonts w:ascii="Times New Roman" w:hAnsi="Times New Roman" w:cs="Times New Roman"/>
          <w:b/>
          <w:sz w:val="24"/>
          <w:szCs w:val="24"/>
          <w:lang w:val="ru-RU"/>
        </w:rPr>
        <w:t>533</w:t>
      </w:r>
      <w:r w:rsidRPr="00E81A6E">
        <w:rPr>
          <w:rFonts w:ascii="Times New Roman" w:hAnsi="Times New Roman" w:cs="Times New Roman"/>
          <w:b/>
          <w:bCs/>
          <w:sz w:val="24"/>
          <w:szCs w:val="24"/>
          <w:lang w:val="ru-RU"/>
        </w:rPr>
        <w:t>,</w:t>
      </w:r>
      <w:r w:rsidR="007B1546" w:rsidRPr="00E81A6E">
        <w:rPr>
          <w:rFonts w:ascii="Times New Roman" w:hAnsi="Times New Roman" w:cs="Times New Roman"/>
          <w:b/>
          <w:bCs/>
          <w:sz w:val="24"/>
          <w:szCs w:val="24"/>
          <w:lang w:val="ru-RU"/>
        </w:rPr>
        <w:t>3</w:t>
      </w:r>
      <w:r w:rsidR="00C92CCA" w:rsidRPr="00E81A6E">
        <w:rPr>
          <w:rFonts w:ascii="Times New Roman" w:hAnsi="Times New Roman" w:cs="Times New Roman"/>
          <w:b/>
          <w:bCs/>
          <w:sz w:val="24"/>
          <w:szCs w:val="24"/>
          <w:lang w:val="ru-RU"/>
        </w:rPr>
        <w:t>99</w:t>
      </w:r>
      <w:r w:rsidRPr="00E81A6E">
        <w:rPr>
          <w:rFonts w:ascii="Times New Roman" w:hAnsi="Times New Roman" w:cs="Times New Roman"/>
          <w:b/>
          <w:bCs/>
          <w:sz w:val="24"/>
          <w:szCs w:val="24"/>
          <w:lang w:val="ru-RU"/>
        </w:rPr>
        <w:t>,</w:t>
      </w:r>
      <w:r w:rsidR="00891B18" w:rsidRPr="00E81A6E">
        <w:rPr>
          <w:rFonts w:ascii="Times New Roman" w:hAnsi="Times New Roman" w:cs="Times New Roman"/>
          <w:b/>
          <w:bCs/>
          <w:sz w:val="24"/>
          <w:szCs w:val="24"/>
          <w:lang w:val="ru-RU"/>
        </w:rPr>
        <w:t>4</w:t>
      </w:r>
      <w:r w:rsidR="00C92CCA" w:rsidRPr="00E81A6E">
        <w:rPr>
          <w:rFonts w:ascii="Times New Roman" w:hAnsi="Times New Roman" w:cs="Times New Roman"/>
          <w:b/>
          <w:bCs/>
          <w:sz w:val="24"/>
          <w:szCs w:val="24"/>
          <w:lang w:val="ru-RU"/>
        </w:rPr>
        <w:t>89</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C92CCA" w:rsidRPr="00E81A6E">
        <w:rPr>
          <w:rFonts w:ascii="Times New Roman" w:hAnsi="Times New Roman" w:cs="Times New Roman"/>
          <w:sz w:val="24"/>
          <w:szCs w:val="24"/>
          <w:lang w:val="ru-RU"/>
        </w:rPr>
        <w:t xml:space="preserve"> /от тях</w:t>
      </w:r>
      <w:r w:rsidRPr="00E81A6E">
        <w:rPr>
          <w:rFonts w:ascii="Times New Roman" w:hAnsi="Times New Roman" w:cs="Times New Roman"/>
          <w:sz w:val="24"/>
          <w:szCs w:val="24"/>
          <w:lang w:val="ru-RU"/>
        </w:rPr>
        <w:t xml:space="preserve"> като държавен трансфер </w:t>
      </w:r>
      <w:r w:rsidR="00C92CCA" w:rsidRPr="00E81A6E">
        <w:rPr>
          <w:rFonts w:ascii="Times New Roman" w:hAnsi="Times New Roman" w:cs="Times New Roman"/>
          <w:sz w:val="24"/>
          <w:szCs w:val="24"/>
          <w:lang w:val="ru-RU"/>
        </w:rPr>
        <w:t>507,</w:t>
      </w:r>
      <w:r w:rsidR="00510071" w:rsidRPr="00E81A6E">
        <w:rPr>
          <w:rFonts w:ascii="Times New Roman" w:hAnsi="Times New Roman" w:cs="Times New Roman"/>
          <w:sz w:val="24"/>
          <w:szCs w:val="24"/>
          <w:lang w:val="ru-RU"/>
        </w:rPr>
        <w:t>3 млн.</w:t>
      </w:r>
      <w:r w:rsidR="00C92CCA" w:rsidRPr="00E81A6E">
        <w:rPr>
          <w:rFonts w:ascii="Times New Roman" w:hAnsi="Times New Roman" w:cs="Times New Roman"/>
          <w:sz w:val="24"/>
          <w:szCs w:val="24"/>
          <w:lang w:val="ru-RU"/>
        </w:rPr>
        <w:t>лв</w:t>
      </w:r>
      <w:r w:rsidR="00510071" w:rsidRPr="00E81A6E">
        <w:rPr>
          <w:rFonts w:ascii="Times New Roman" w:hAnsi="Times New Roman" w:cs="Times New Roman"/>
          <w:sz w:val="24"/>
          <w:szCs w:val="24"/>
          <w:lang w:val="ru-RU"/>
        </w:rPr>
        <w:t>.</w:t>
      </w:r>
      <w:r w:rsidR="00C92CCA"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 xml:space="preserve">и преходен остатък </w:t>
      </w:r>
      <w:r w:rsidR="00C92CCA" w:rsidRPr="00E81A6E">
        <w:rPr>
          <w:rFonts w:ascii="Times New Roman" w:hAnsi="Times New Roman" w:cs="Times New Roman"/>
          <w:sz w:val="24"/>
          <w:szCs w:val="24"/>
          <w:lang w:val="bg-BG"/>
        </w:rPr>
        <w:t>26</w:t>
      </w:r>
      <w:r w:rsidR="00510071" w:rsidRPr="00E81A6E">
        <w:rPr>
          <w:rFonts w:ascii="Times New Roman" w:hAnsi="Times New Roman" w:cs="Times New Roman"/>
          <w:sz w:val="24"/>
          <w:szCs w:val="24"/>
          <w:lang w:val="bg-BG"/>
        </w:rPr>
        <w:t>,1 млн.</w:t>
      </w:r>
      <w:r w:rsidR="008E5645" w:rsidRPr="00E81A6E">
        <w:rPr>
          <w:rFonts w:ascii="Times New Roman" w:hAnsi="Times New Roman" w:cs="Times New Roman"/>
          <w:sz w:val="24"/>
          <w:szCs w:val="24"/>
          <w:lang w:val="bg-BG"/>
        </w:rPr>
        <w:t>лв.</w:t>
      </w:r>
      <w:r w:rsidR="00F548CA"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З</w:t>
      </w:r>
      <w:r w:rsidR="005D7DED" w:rsidRPr="00E81A6E">
        <w:rPr>
          <w:rFonts w:ascii="Times New Roman" w:hAnsi="Times New Roman" w:cs="Times New Roman"/>
          <w:sz w:val="24"/>
          <w:szCs w:val="24"/>
          <w:lang w:val="ru-RU"/>
        </w:rPr>
        <w:t>а сравнение</w:t>
      </w:r>
      <w:r w:rsidR="000F75B7" w:rsidRPr="00E81A6E">
        <w:rPr>
          <w:rFonts w:ascii="Times New Roman" w:hAnsi="Times New Roman" w:cs="Times New Roman"/>
          <w:sz w:val="24"/>
          <w:szCs w:val="24"/>
          <w:lang w:val="ru-RU"/>
        </w:rPr>
        <w:t>,</w:t>
      </w:r>
      <w:r w:rsidR="005D7DED" w:rsidRPr="00E81A6E">
        <w:rPr>
          <w:rFonts w:ascii="Times New Roman" w:hAnsi="Times New Roman" w:cs="Times New Roman"/>
          <w:sz w:val="24"/>
          <w:szCs w:val="24"/>
          <w:lang w:val="ru-RU"/>
        </w:rPr>
        <w:t xml:space="preserve"> държавният трансфер</w:t>
      </w:r>
      <w:r w:rsidRPr="00E81A6E">
        <w:rPr>
          <w:rFonts w:ascii="Times New Roman" w:hAnsi="Times New Roman" w:cs="Times New Roman"/>
          <w:sz w:val="24"/>
          <w:szCs w:val="24"/>
          <w:lang w:val="ru-RU"/>
        </w:rPr>
        <w:t>, разчетен със ЗДБРБ за 20</w:t>
      </w:r>
      <w:r w:rsidR="00A8003D" w:rsidRPr="00E81A6E">
        <w:rPr>
          <w:rFonts w:ascii="Times New Roman" w:hAnsi="Times New Roman" w:cs="Times New Roman"/>
          <w:sz w:val="24"/>
          <w:szCs w:val="24"/>
          <w:lang w:val="ru-RU"/>
        </w:rPr>
        <w:t>20</w:t>
      </w:r>
      <w:r w:rsidR="00510071"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г. за функция “Образование” на Столична община е </w:t>
      </w:r>
      <w:r w:rsidR="00C92CCA" w:rsidRPr="00E81A6E">
        <w:rPr>
          <w:rFonts w:ascii="Times New Roman" w:hAnsi="Times New Roman" w:cs="Times New Roman"/>
          <w:sz w:val="24"/>
          <w:szCs w:val="24"/>
          <w:lang w:val="ru-RU"/>
        </w:rPr>
        <w:t>435</w:t>
      </w:r>
      <w:r w:rsidRPr="00E81A6E">
        <w:rPr>
          <w:rFonts w:ascii="Times New Roman" w:hAnsi="Times New Roman" w:cs="Times New Roman"/>
          <w:sz w:val="24"/>
          <w:szCs w:val="24"/>
          <w:lang w:val="ru-RU"/>
        </w:rPr>
        <w:t>,</w:t>
      </w:r>
      <w:r w:rsidR="00C92CCA" w:rsidRPr="00E81A6E">
        <w:rPr>
          <w:rFonts w:ascii="Times New Roman" w:hAnsi="Times New Roman" w:cs="Times New Roman"/>
          <w:sz w:val="24"/>
          <w:szCs w:val="24"/>
          <w:lang w:val="ru-RU"/>
        </w:rPr>
        <w:t>9</w:t>
      </w:r>
      <w:r w:rsidR="00CF2E44" w:rsidRPr="00E81A6E">
        <w:rPr>
          <w:rFonts w:ascii="Times New Roman" w:hAnsi="Times New Roman" w:cs="Times New Roman"/>
          <w:sz w:val="24"/>
          <w:szCs w:val="24"/>
          <w:lang w:val="ru-RU"/>
        </w:rPr>
        <w:t xml:space="preserve"> </w:t>
      </w:r>
      <w:r w:rsidR="00B26384" w:rsidRPr="00E81A6E">
        <w:rPr>
          <w:rFonts w:ascii="Times New Roman" w:hAnsi="Times New Roman" w:cs="Times New Roman"/>
          <w:sz w:val="24"/>
          <w:szCs w:val="24"/>
          <w:lang w:val="ru-RU"/>
        </w:rPr>
        <w:t xml:space="preserve"> млн.лв.</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 у</w:t>
      </w:r>
      <w:r w:rsidRPr="00E81A6E">
        <w:rPr>
          <w:rFonts w:ascii="Times New Roman" w:hAnsi="Times New Roman" w:cs="Times New Roman"/>
          <w:sz w:val="24"/>
          <w:szCs w:val="24"/>
          <w:lang w:val="ru-RU"/>
        </w:rPr>
        <w:t>величение</w:t>
      </w:r>
      <w:r w:rsidRPr="00E81A6E">
        <w:rPr>
          <w:rFonts w:ascii="Times New Roman" w:hAnsi="Times New Roman" w:cs="Times New Roman"/>
          <w:sz w:val="24"/>
          <w:szCs w:val="24"/>
          <w:lang w:val="bg-BG"/>
        </w:rPr>
        <w:t>то е с</w:t>
      </w:r>
      <w:r w:rsidR="000F75B7" w:rsidRPr="00E81A6E">
        <w:rPr>
          <w:rFonts w:ascii="Times New Roman" w:hAnsi="Times New Roman" w:cs="Times New Roman"/>
          <w:sz w:val="24"/>
          <w:szCs w:val="24"/>
          <w:lang w:val="bg-BG"/>
        </w:rPr>
        <w:t>ъс</w:t>
      </w:r>
      <w:r w:rsidRPr="00E81A6E">
        <w:rPr>
          <w:rFonts w:ascii="Times New Roman" w:hAnsi="Times New Roman" w:cs="Times New Roman"/>
          <w:sz w:val="24"/>
          <w:szCs w:val="24"/>
          <w:lang w:val="bg-BG"/>
        </w:rPr>
        <w:t xml:space="preserve"> </w:t>
      </w:r>
      <w:r w:rsidR="00C92CCA" w:rsidRPr="00E81A6E">
        <w:rPr>
          <w:rFonts w:ascii="Times New Roman" w:hAnsi="Times New Roman" w:cs="Times New Roman"/>
          <w:sz w:val="24"/>
          <w:szCs w:val="24"/>
          <w:lang w:val="bg-BG"/>
        </w:rPr>
        <w:t>71</w:t>
      </w:r>
      <w:r w:rsidRPr="00E81A6E">
        <w:rPr>
          <w:rFonts w:ascii="Times New Roman" w:hAnsi="Times New Roman" w:cs="Times New Roman"/>
          <w:sz w:val="24"/>
          <w:szCs w:val="24"/>
          <w:lang w:val="ru-RU"/>
        </w:rPr>
        <w:t>.</w:t>
      </w:r>
      <w:r w:rsidR="00C92CCA" w:rsidRPr="00E81A6E">
        <w:rPr>
          <w:rFonts w:ascii="Times New Roman" w:hAnsi="Times New Roman" w:cs="Times New Roman"/>
          <w:sz w:val="24"/>
          <w:szCs w:val="24"/>
          <w:lang w:val="ru-RU"/>
        </w:rPr>
        <w:t>4</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млн.лв.</w:t>
      </w:r>
      <w:r w:rsidRPr="00E81A6E">
        <w:rPr>
          <w:rFonts w:ascii="Times New Roman" w:hAnsi="Times New Roman" w:cs="Times New Roman"/>
          <w:sz w:val="24"/>
          <w:szCs w:val="24"/>
          <w:lang w:val="ru-RU"/>
        </w:rPr>
        <w:t xml:space="preserve"> </w:t>
      </w:r>
    </w:p>
    <w:p w14:paraId="51504487" w14:textId="77777777" w:rsidR="00477F6C" w:rsidRPr="00E81A6E" w:rsidRDefault="00477F6C"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Средствата се разпределят с помощта на формули, които се утвърждават след обсъждане с директорите на детските градини, училищата и обслужващите звена.</w:t>
      </w:r>
    </w:p>
    <w:p w14:paraId="0F61DFAA" w14:textId="77777777" w:rsidR="00A8003D" w:rsidRPr="00E81A6E" w:rsidRDefault="00A8003D"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lastRenderedPageBreak/>
        <w:t xml:space="preserve">С държавния бюджет </w:t>
      </w:r>
      <w:r w:rsidRPr="00E81A6E">
        <w:rPr>
          <w:rFonts w:ascii="Times New Roman" w:hAnsi="Times New Roman" w:cs="Times New Roman"/>
          <w:sz w:val="24"/>
          <w:szCs w:val="24"/>
        </w:rPr>
        <w:t>за 2021 г. са осигурени средства</w:t>
      </w:r>
      <w:r w:rsidRPr="00E81A6E">
        <w:rPr>
          <w:rFonts w:ascii="Times New Roman" w:hAnsi="Times New Roman" w:cs="Times New Roman"/>
          <w:sz w:val="24"/>
          <w:szCs w:val="24"/>
          <w:lang w:val="bg-BG"/>
        </w:rPr>
        <w:t xml:space="preserve"> за </w:t>
      </w:r>
      <w:r w:rsidRPr="00E81A6E">
        <w:rPr>
          <w:rFonts w:ascii="Times New Roman" w:hAnsi="Times New Roman" w:cs="Times New Roman"/>
          <w:sz w:val="24"/>
          <w:szCs w:val="24"/>
        </w:rPr>
        <w:t xml:space="preserve">увеличение на възнагражденията на учителите </w:t>
      </w:r>
      <w:r w:rsidRPr="00E81A6E">
        <w:rPr>
          <w:rFonts w:ascii="Times New Roman" w:hAnsi="Times New Roman" w:cs="Times New Roman"/>
          <w:sz w:val="24"/>
          <w:szCs w:val="24"/>
          <w:lang w:val="bg-BG"/>
        </w:rPr>
        <w:t>с 1</w:t>
      </w:r>
      <w:r w:rsidR="007E3E5A" w:rsidRPr="00E81A6E">
        <w:rPr>
          <w:rFonts w:ascii="Times New Roman" w:hAnsi="Times New Roman" w:cs="Times New Roman"/>
          <w:sz w:val="24"/>
          <w:szCs w:val="24"/>
        </w:rPr>
        <w:t>5</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rPr>
        <w:t>и за непедагогическия персонал</w:t>
      </w:r>
      <w:r w:rsidRPr="00E81A6E">
        <w:rPr>
          <w:rFonts w:ascii="Times New Roman" w:hAnsi="Times New Roman" w:cs="Times New Roman"/>
          <w:sz w:val="24"/>
          <w:szCs w:val="24"/>
          <w:lang w:val="bg-BG"/>
        </w:rPr>
        <w:t xml:space="preserve"> с 10%</w:t>
      </w:r>
      <w:r w:rsidRPr="00E81A6E">
        <w:rPr>
          <w:rFonts w:ascii="Times New Roman" w:hAnsi="Times New Roman" w:cs="Times New Roman"/>
          <w:sz w:val="24"/>
          <w:szCs w:val="24"/>
        </w:rPr>
        <w:t xml:space="preserve">; </w:t>
      </w:r>
    </w:p>
    <w:p w14:paraId="38CE3076"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rPr>
        <w:t>У</w:t>
      </w:r>
      <w:r w:rsidRPr="00E81A6E">
        <w:rPr>
          <w:rFonts w:ascii="Times New Roman" w:hAnsi="Times New Roman" w:cs="Times New Roman"/>
          <w:sz w:val="24"/>
          <w:szCs w:val="24"/>
          <w:lang w:val="ru-RU"/>
        </w:rPr>
        <w:t>становеното в края на годината превишение на постъпленията над плащанията по бюджетите на държавните и общинските училища и детските заведения</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в частта за делегираното държавно финансиране, се включва в бюджета им за следващата година.</w:t>
      </w:r>
    </w:p>
    <w:p w14:paraId="5925DF14" w14:textId="77777777" w:rsidR="00420DBB" w:rsidRPr="00E81A6E" w:rsidRDefault="00635129"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Вследствие наложените мерки з</w:t>
      </w:r>
      <w:r w:rsidR="00420DBB" w:rsidRPr="00E81A6E">
        <w:rPr>
          <w:rFonts w:ascii="Times New Roman" w:hAnsi="Times New Roman" w:cs="Times New Roman"/>
          <w:sz w:val="24"/>
          <w:szCs w:val="24"/>
          <w:lang w:val="bg-BG"/>
        </w:rPr>
        <w:t>а предотвратяване заразата от Ковид-19 и затварянето на учебни</w:t>
      </w:r>
      <w:r w:rsidRPr="00E81A6E">
        <w:rPr>
          <w:rFonts w:ascii="Times New Roman" w:hAnsi="Times New Roman" w:cs="Times New Roman"/>
          <w:sz w:val="24"/>
          <w:szCs w:val="24"/>
          <w:lang w:val="bg-BG"/>
        </w:rPr>
        <w:t>те</w:t>
      </w:r>
      <w:r w:rsidR="00420DBB" w:rsidRPr="00E81A6E">
        <w:rPr>
          <w:rFonts w:ascii="Times New Roman" w:hAnsi="Times New Roman" w:cs="Times New Roman"/>
          <w:sz w:val="24"/>
          <w:szCs w:val="24"/>
          <w:lang w:val="bg-BG"/>
        </w:rPr>
        <w:t xml:space="preserve"> и детски заведения</w:t>
      </w:r>
      <w:r w:rsidR="00F548CA" w:rsidRPr="00E81A6E">
        <w:rPr>
          <w:rFonts w:ascii="Times New Roman" w:hAnsi="Times New Roman" w:cs="Times New Roman"/>
          <w:sz w:val="24"/>
          <w:szCs w:val="24"/>
          <w:lang w:val="bg-BG"/>
        </w:rPr>
        <w:t>,</w:t>
      </w:r>
      <w:r w:rsidR="00420DBB" w:rsidRPr="00E81A6E">
        <w:rPr>
          <w:rFonts w:ascii="Times New Roman" w:hAnsi="Times New Roman" w:cs="Times New Roman"/>
          <w:sz w:val="24"/>
          <w:szCs w:val="24"/>
          <w:lang w:val="bg-BG"/>
        </w:rPr>
        <w:t xml:space="preserve"> се реализира икономия от разходи за издръж</w:t>
      </w:r>
      <w:r w:rsidR="00F548CA" w:rsidRPr="00E81A6E">
        <w:rPr>
          <w:rFonts w:ascii="Times New Roman" w:hAnsi="Times New Roman" w:cs="Times New Roman"/>
          <w:sz w:val="24"/>
          <w:szCs w:val="24"/>
          <w:lang w:val="bg-BG"/>
        </w:rPr>
        <w:t xml:space="preserve">ка, поради което е </w:t>
      </w:r>
      <w:r w:rsidR="00420DBB" w:rsidRPr="00E81A6E">
        <w:rPr>
          <w:rFonts w:ascii="Times New Roman" w:hAnsi="Times New Roman" w:cs="Times New Roman"/>
          <w:sz w:val="24"/>
          <w:szCs w:val="24"/>
          <w:lang w:val="bg-BG"/>
        </w:rPr>
        <w:t>по-голям преходн</w:t>
      </w:r>
      <w:r w:rsidR="00F548CA" w:rsidRPr="00E81A6E">
        <w:rPr>
          <w:rFonts w:ascii="Times New Roman" w:hAnsi="Times New Roman" w:cs="Times New Roman"/>
          <w:sz w:val="24"/>
          <w:szCs w:val="24"/>
          <w:lang w:val="bg-BG"/>
        </w:rPr>
        <w:t>ият</w:t>
      </w:r>
      <w:r w:rsidR="00420DBB" w:rsidRPr="00E81A6E">
        <w:rPr>
          <w:rFonts w:ascii="Times New Roman" w:hAnsi="Times New Roman" w:cs="Times New Roman"/>
          <w:sz w:val="24"/>
          <w:szCs w:val="24"/>
          <w:lang w:val="bg-BG"/>
        </w:rPr>
        <w:t xml:space="preserve"> остатък от 2020г. в делегираните държавни дейности. В детските гр</w:t>
      </w:r>
      <w:r w:rsidR="007B7622" w:rsidRPr="00E81A6E">
        <w:rPr>
          <w:rFonts w:ascii="Times New Roman" w:hAnsi="Times New Roman" w:cs="Times New Roman"/>
          <w:sz w:val="24"/>
          <w:szCs w:val="24"/>
          <w:lang w:val="bg-BG"/>
        </w:rPr>
        <w:t>а</w:t>
      </w:r>
      <w:r w:rsidR="00420DBB" w:rsidRPr="00E81A6E">
        <w:rPr>
          <w:rFonts w:ascii="Times New Roman" w:hAnsi="Times New Roman" w:cs="Times New Roman"/>
          <w:sz w:val="24"/>
          <w:szCs w:val="24"/>
          <w:lang w:val="bg-BG"/>
        </w:rPr>
        <w:t>дини с</w:t>
      </w:r>
      <w:r w:rsidR="00C92CCA" w:rsidRPr="00E81A6E">
        <w:rPr>
          <w:rFonts w:ascii="Times New Roman" w:hAnsi="Times New Roman" w:cs="Times New Roman"/>
          <w:sz w:val="24"/>
          <w:szCs w:val="24"/>
          <w:lang w:val="bg-BG"/>
        </w:rPr>
        <w:t xml:space="preserve">ъс средства от </w:t>
      </w:r>
      <w:r w:rsidR="00420DBB" w:rsidRPr="00E81A6E">
        <w:rPr>
          <w:rFonts w:ascii="Times New Roman" w:hAnsi="Times New Roman" w:cs="Times New Roman"/>
          <w:sz w:val="24"/>
          <w:szCs w:val="24"/>
          <w:lang w:val="bg-BG"/>
        </w:rPr>
        <w:t>преходн</w:t>
      </w:r>
      <w:r w:rsidR="00C92CCA" w:rsidRPr="00E81A6E">
        <w:rPr>
          <w:rFonts w:ascii="Times New Roman" w:hAnsi="Times New Roman" w:cs="Times New Roman"/>
          <w:sz w:val="24"/>
          <w:szCs w:val="24"/>
          <w:lang w:val="bg-BG"/>
        </w:rPr>
        <w:t>ия</w:t>
      </w:r>
      <w:r w:rsidR="00420DBB" w:rsidRPr="00E81A6E">
        <w:rPr>
          <w:rFonts w:ascii="Times New Roman" w:hAnsi="Times New Roman" w:cs="Times New Roman"/>
          <w:sz w:val="24"/>
          <w:szCs w:val="24"/>
          <w:lang w:val="bg-BG"/>
        </w:rPr>
        <w:t xml:space="preserve"> остатък през 2021г.</w:t>
      </w:r>
      <w:r w:rsidR="00F548CA" w:rsidRPr="00E81A6E">
        <w:rPr>
          <w:rFonts w:ascii="Times New Roman" w:hAnsi="Times New Roman" w:cs="Times New Roman"/>
          <w:sz w:val="24"/>
          <w:szCs w:val="24"/>
          <w:lang w:val="bg-BG"/>
        </w:rPr>
        <w:t>,</w:t>
      </w:r>
      <w:r w:rsidR="00420DBB" w:rsidRPr="00E81A6E">
        <w:rPr>
          <w:rFonts w:ascii="Times New Roman" w:hAnsi="Times New Roman" w:cs="Times New Roman"/>
          <w:sz w:val="24"/>
          <w:szCs w:val="24"/>
          <w:lang w:val="bg-BG"/>
        </w:rPr>
        <w:t xml:space="preserve"> в размер на 4 911 579 лв.</w:t>
      </w:r>
      <w:r w:rsidR="00F548CA" w:rsidRPr="00E81A6E">
        <w:rPr>
          <w:rFonts w:ascii="Times New Roman" w:hAnsi="Times New Roman" w:cs="Times New Roman"/>
          <w:sz w:val="24"/>
          <w:szCs w:val="24"/>
          <w:lang w:val="bg-BG"/>
        </w:rPr>
        <w:t>,</w:t>
      </w:r>
      <w:r w:rsidR="00420DBB" w:rsidRPr="00E81A6E">
        <w:rPr>
          <w:rFonts w:ascii="Times New Roman" w:hAnsi="Times New Roman" w:cs="Times New Roman"/>
          <w:sz w:val="24"/>
          <w:szCs w:val="24"/>
          <w:lang w:val="bg-BG"/>
        </w:rPr>
        <w:t xml:space="preserve"> ще се финансира издръжка.</w:t>
      </w:r>
    </w:p>
    <w:p w14:paraId="1CEBF5A8" w14:textId="77777777" w:rsidR="00477F6C" w:rsidRPr="00E81A6E" w:rsidRDefault="00477F6C"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p>
    <w:p w14:paraId="233BFD62" w14:textId="77777777" w:rsidR="00457C6D" w:rsidRPr="00E81A6E" w:rsidRDefault="00457C6D" w:rsidP="00F55B06">
      <w:pPr>
        <w:pStyle w:val="BodyText"/>
        <w:spacing w:line="240" w:lineRule="auto"/>
        <w:ind w:firstLine="720"/>
        <w:contextualSpacing/>
        <w:rPr>
          <w:rFonts w:ascii="Times New Roman" w:hAnsi="Times New Roman" w:cs="Times New Roman"/>
          <w:sz w:val="24"/>
          <w:szCs w:val="24"/>
        </w:rPr>
      </w:pPr>
      <w:r w:rsidRPr="00E81A6E">
        <w:rPr>
          <w:rFonts w:ascii="Times New Roman" w:hAnsi="Times New Roman" w:cs="Times New Roman"/>
          <w:sz w:val="24"/>
          <w:szCs w:val="24"/>
        </w:rPr>
        <w:t xml:space="preserve">Когато присъственият учебен процес в училището е временно преустановен по предписание на компетентен орган, поради което </w:t>
      </w:r>
      <w:r w:rsidRPr="00E81A6E">
        <w:rPr>
          <w:rFonts w:ascii="Times New Roman" w:hAnsi="Times New Roman" w:cs="Times New Roman"/>
          <w:b/>
          <w:sz w:val="24"/>
          <w:szCs w:val="24"/>
        </w:rPr>
        <w:t>обучението на учениците се осъществява от разстояние в електронна среда</w:t>
      </w:r>
      <w:r w:rsidRPr="00E81A6E">
        <w:rPr>
          <w:rFonts w:ascii="Times New Roman" w:hAnsi="Times New Roman" w:cs="Times New Roman"/>
          <w:sz w:val="24"/>
          <w:szCs w:val="24"/>
        </w:rPr>
        <w:t>, за периода на дистанционното обучение училищата мо</w:t>
      </w:r>
      <w:r w:rsidR="00C92CCA" w:rsidRPr="00E81A6E">
        <w:rPr>
          <w:rFonts w:ascii="Times New Roman" w:hAnsi="Times New Roman" w:cs="Times New Roman"/>
          <w:sz w:val="24"/>
          <w:szCs w:val="24"/>
          <w:lang w:val="bg-BG"/>
        </w:rPr>
        <w:t>гат</w:t>
      </w:r>
      <w:r w:rsidRPr="00E81A6E">
        <w:rPr>
          <w:rFonts w:ascii="Times New Roman" w:hAnsi="Times New Roman" w:cs="Times New Roman"/>
          <w:sz w:val="24"/>
          <w:szCs w:val="24"/>
        </w:rPr>
        <w:t xml:space="preserve"> за сметка на бюджетите си да извършват разходи за доставка на интернет свързаност по местоживеенето на учениците, които по социални причини не разполагат с достъп до интернет. Разходите са за сметка на неизразходваните средства за времето на преустановяването на присъствените учебни занятия, за издръжка на процеса на възпитание и обучение на децата и учениците и/или за подпомагане на равния достъп и подкрепа за личностно развитие. </w:t>
      </w:r>
    </w:p>
    <w:p w14:paraId="4F7459CA" w14:textId="0476AD20"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За </w:t>
      </w:r>
      <w:r w:rsidRPr="00E81A6E">
        <w:rPr>
          <w:rFonts w:ascii="Times New Roman" w:hAnsi="Times New Roman" w:cs="Times New Roman"/>
          <w:b/>
          <w:bCs/>
          <w:sz w:val="24"/>
          <w:szCs w:val="24"/>
          <w:lang w:val="ru-RU"/>
        </w:rPr>
        <w:t>местни дейности</w:t>
      </w:r>
      <w:r w:rsidRPr="00E81A6E">
        <w:rPr>
          <w:rFonts w:ascii="Times New Roman" w:hAnsi="Times New Roman" w:cs="Times New Roman"/>
          <w:sz w:val="24"/>
          <w:szCs w:val="24"/>
          <w:lang w:val="ru-RU"/>
        </w:rPr>
        <w:t xml:space="preserve"> за текущи разходи са разчетени 3</w:t>
      </w:r>
      <w:r w:rsidR="00641DCB">
        <w:rPr>
          <w:rFonts w:ascii="Times New Roman" w:hAnsi="Times New Roman" w:cs="Times New Roman"/>
          <w:sz w:val="24"/>
          <w:szCs w:val="24"/>
          <w:lang w:val="ru-RU"/>
        </w:rPr>
        <w:t>2</w:t>
      </w:r>
      <w:r w:rsidRPr="00E81A6E">
        <w:rPr>
          <w:rFonts w:ascii="Times New Roman" w:hAnsi="Times New Roman" w:cs="Times New Roman"/>
          <w:sz w:val="24"/>
          <w:szCs w:val="24"/>
          <w:lang w:val="ru-RU"/>
        </w:rPr>
        <w:t>,</w:t>
      </w:r>
      <w:r w:rsidR="00641DCB">
        <w:rPr>
          <w:rFonts w:ascii="Times New Roman" w:hAnsi="Times New Roman" w:cs="Times New Roman"/>
          <w:sz w:val="24"/>
          <w:szCs w:val="24"/>
          <w:lang w:val="ru-RU"/>
        </w:rPr>
        <w:t>018</w:t>
      </w:r>
      <w:r w:rsidRPr="00E81A6E">
        <w:rPr>
          <w:rFonts w:ascii="Times New Roman" w:hAnsi="Times New Roman" w:cs="Times New Roman"/>
          <w:sz w:val="24"/>
          <w:szCs w:val="24"/>
          <w:lang w:val="ru-RU"/>
        </w:rPr>
        <w:t>,</w:t>
      </w:r>
      <w:r w:rsidR="00641DCB">
        <w:rPr>
          <w:rFonts w:ascii="Times New Roman" w:hAnsi="Times New Roman" w:cs="Times New Roman"/>
          <w:sz w:val="24"/>
          <w:szCs w:val="24"/>
          <w:lang w:val="ru-RU"/>
        </w:rPr>
        <w:t>332</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в това число за издръжка </w:t>
      </w:r>
      <w:r w:rsidR="00641DCB">
        <w:rPr>
          <w:rFonts w:ascii="Times New Roman" w:hAnsi="Times New Roman" w:cs="Times New Roman"/>
          <w:sz w:val="24"/>
          <w:szCs w:val="24"/>
          <w:lang w:val="ru-RU"/>
        </w:rPr>
        <w:t>31</w:t>
      </w:r>
      <w:r w:rsidRPr="00E81A6E">
        <w:rPr>
          <w:rFonts w:ascii="Times New Roman" w:hAnsi="Times New Roman" w:cs="Times New Roman"/>
          <w:sz w:val="24"/>
          <w:szCs w:val="24"/>
          <w:lang w:val="ru-RU"/>
        </w:rPr>
        <w:t>,</w:t>
      </w:r>
      <w:r w:rsidR="00641DCB">
        <w:rPr>
          <w:rFonts w:ascii="Times New Roman" w:hAnsi="Times New Roman" w:cs="Times New Roman"/>
          <w:sz w:val="24"/>
          <w:szCs w:val="24"/>
          <w:lang w:val="ru-RU"/>
        </w:rPr>
        <w:t>111</w:t>
      </w:r>
      <w:r w:rsidRPr="00E81A6E">
        <w:rPr>
          <w:rFonts w:ascii="Times New Roman" w:hAnsi="Times New Roman" w:cs="Times New Roman"/>
          <w:sz w:val="24"/>
          <w:szCs w:val="24"/>
          <w:lang w:val="ru-RU"/>
        </w:rPr>
        <w:t>,</w:t>
      </w:r>
      <w:r w:rsidR="00641DCB">
        <w:rPr>
          <w:rFonts w:ascii="Times New Roman" w:hAnsi="Times New Roman" w:cs="Times New Roman"/>
          <w:sz w:val="24"/>
          <w:szCs w:val="24"/>
          <w:lang w:val="ru-RU"/>
        </w:rPr>
        <w:t>124</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основно за издръжка на детски</w:t>
      </w:r>
      <w:r w:rsidR="00C92CCA" w:rsidRPr="00E81A6E">
        <w:rPr>
          <w:rFonts w:ascii="Times New Roman" w:hAnsi="Times New Roman" w:cs="Times New Roman"/>
          <w:sz w:val="24"/>
          <w:szCs w:val="24"/>
          <w:lang w:val="bg-BG"/>
        </w:rPr>
        <w:t>те</w:t>
      </w:r>
      <w:r w:rsidRPr="00E81A6E">
        <w:rPr>
          <w:rFonts w:ascii="Times New Roman" w:hAnsi="Times New Roman" w:cs="Times New Roman"/>
          <w:sz w:val="24"/>
          <w:szCs w:val="24"/>
          <w:lang w:val="bg-BG"/>
        </w:rPr>
        <w:t xml:space="preserve"> градини, включително храната на децата.</w:t>
      </w:r>
    </w:p>
    <w:p w14:paraId="3DA5754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За дофинансиране са разчетени </w:t>
      </w:r>
      <w:r w:rsidR="00C92CCA" w:rsidRPr="00E81A6E">
        <w:rPr>
          <w:rFonts w:ascii="Times New Roman" w:hAnsi="Times New Roman" w:cs="Times New Roman"/>
          <w:sz w:val="24"/>
          <w:szCs w:val="24"/>
          <w:lang w:val="bg-BG"/>
        </w:rPr>
        <w:t>96</w:t>
      </w:r>
      <w:r w:rsidRPr="00E81A6E">
        <w:rPr>
          <w:rFonts w:ascii="Times New Roman" w:hAnsi="Times New Roman" w:cs="Times New Roman"/>
          <w:sz w:val="24"/>
          <w:szCs w:val="24"/>
          <w:lang w:val="bg-BG"/>
        </w:rPr>
        <w:t>,</w:t>
      </w:r>
      <w:r w:rsidR="00C92CCA" w:rsidRPr="00E81A6E">
        <w:rPr>
          <w:rFonts w:ascii="Times New Roman" w:hAnsi="Times New Roman" w:cs="Times New Roman"/>
          <w:sz w:val="24"/>
          <w:szCs w:val="24"/>
          <w:lang w:val="bg-BG"/>
        </w:rPr>
        <w:t>600</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bg-BG"/>
        </w:rPr>
        <w:t xml:space="preserve"> от които за заплати </w:t>
      </w:r>
      <w:r w:rsidR="00C92CCA" w:rsidRPr="00E81A6E">
        <w:rPr>
          <w:rFonts w:ascii="Times New Roman" w:hAnsi="Times New Roman" w:cs="Times New Roman"/>
          <w:sz w:val="24"/>
          <w:szCs w:val="24"/>
          <w:lang w:val="bg-BG"/>
        </w:rPr>
        <w:t>7</w:t>
      </w:r>
      <w:r w:rsidRPr="00E81A6E">
        <w:rPr>
          <w:rFonts w:ascii="Times New Roman" w:hAnsi="Times New Roman" w:cs="Times New Roman"/>
          <w:sz w:val="24"/>
          <w:szCs w:val="24"/>
          <w:lang w:val="bg-BG"/>
        </w:rPr>
        <w:t>8,</w:t>
      </w:r>
      <w:r w:rsidR="00C92CCA" w:rsidRPr="00E81A6E">
        <w:rPr>
          <w:rFonts w:ascii="Times New Roman" w:hAnsi="Times New Roman" w:cs="Times New Roman"/>
          <w:sz w:val="24"/>
          <w:szCs w:val="24"/>
          <w:lang w:val="bg-BG"/>
        </w:rPr>
        <w:t>333</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bg-BG"/>
        </w:rPr>
        <w:t>, за осигурителни вноски 1</w:t>
      </w:r>
      <w:r w:rsidR="00C92CCA" w:rsidRPr="00E81A6E">
        <w:rPr>
          <w:rFonts w:ascii="Times New Roman" w:hAnsi="Times New Roman" w:cs="Times New Roman"/>
          <w:sz w:val="24"/>
          <w:szCs w:val="24"/>
          <w:lang w:val="bg-BG"/>
        </w:rPr>
        <w:t>8</w:t>
      </w:r>
      <w:r w:rsidRPr="00E81A6E">
        <w:rPr>
          <w:rFonts w:ascii="Times New Roman" w:hAnsi="Times New Roman" w:cs="Times New Roman"/>
          <w:sz w:val="24"/>
          <w:szCs w:val="24"/>
          <w:lang w:val="bg-BG"/>
        </w:rPr>
        <w:t>,</w:t>
      </w:r>
      <w:r w:rsidR="00C92CCA" w:rsidRPr="00E81A6E">
        <w:rPr>
          <w:rFonts w:ascii="Times New Roman" w:hAnsi="Times New Roman" w:cs="Times New Roman"/>
          <w:sz w:val="24"/>
          <w:szCs w:val="24"/>
          <w:lang w:val="bg-BG"/>
        </w:rPr>
        <w:t>267</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00B26384" w:rsidRPr="00E81A6E">
        <w:rPr>
          <w:rFonts w:ascii="Times New Roman" w:hAnsi="Times New Roman" w:cs="Times New Roman"/>
          <w:sz w:val="24"/>
          <w:szCs w:val="24"/>
          <w:lang w:val="bg-BG"/>
        </w:rPr>
        <w:t xml:space="preserve"> </w:t>
      </w:r>
      <w:r w:rsidR="00D67C2C" w:rsidRPr="00E81A6E">
        <w:rPr>
          <w:rFonts w:ascii="Times New Roman" w:hAnsi="Times New Roman" w:cs="Times New Roman"/>
          <w:sz w:val="24"/>
          <w:szCs w:val="24"/>
          <w:lang w:val="bg-BG"/>
        </w:rPr>
        <w:t>на 4 щатни бройки в Център за подкрепа за личностно развитие – Център за изкуство, култура и образование – София.</w:t>
      </w:r>
    </w:p>
    <w:p w14:paraId="0F90BE92"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rPr>
      </w:pPr>
    </w:p>
    <w:p w14:paraId="3EEBAD19"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bg-BG"/>
        </w:rPr>
      </w:pPr>
      <w:bookmarkStart w:id="92" w:name="_Toc409874553"/>
      <w:bookmarkStart w:id="93" w:name="_Toc499639782"/>
      <w:bookmarkStart w:id="94" w:name="_Toc500496078"/>
      <w:bookmarkStart w:id="95" w:name="_Toc500496424"/>
      <w:bookmarkStart w:id="96" w:name="_Toc503629625"/>
      <w:bookmarkStart w:id="97" w:name="_Toc61971778"/>
      <w:r w:rsidRPr="00E81A6E">
        <w:rPr>
          <w:rFonts w:ascii="Times New Roman" w:hAnsi="Times New Roman" w:cs="Times New Roman"/>
          <w:color w:val="auto"/>
          <w:sz w:val="24"/>
          <w:szCs w:val="24"/>
          <w:lang w:val="ru-RU"/>
        </w:rPr>
        <w:t>Функция “ Здравеопазване“</w:t>
      </w:r>
      <w:bookmarkEnd w:id="92"/>
      <w:bookmarkEnd w:id="93"/>
      <w:bookmarkEnd w:id="94"/>
      <w:bookmarkEnd w:id="95"/>
      <w:r w:rsidRPr="00E81A6E">
        <w:rPr>
          <w:rFonts w:ascii="Times New Roman" w:hAnsi="Times New Roman" w:cs="Times New Roman"/>
          <w:color w:val="auto"/>
          <w:sz w:val="24"/>
          <w:szCs w:val="24"/>
          <w:lang w:val="bg-BG"/>
        </w:rPr>
        <w:t xml:space="preserve"> – текущи разходи</w:t>
      </w:r>
      <w:bookmarkEnd w:id="96"/>
      <w:bookmarkEnd w:id="97"/>
    </w:p>
    <w:p w14:paraId="725C6B8D"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sz w:val="24"/>
          <w:szCs w:val="24"/>
          <w:lang w:val="ru-RU"/>
        </w:rPr>
        <w:t>Всичко за функцията са разчетени</w:t>
      </w:r>
      <w:r w:rsidRPr="00E81A6E">
        <w:rPr>
          <w:rFonts w:ascii="Times New Roman" w:hAnsi="Times New Roman" w:cs="Times New Roman"/>
          <w:b/>
          <w:bCs/>
          <w:sz w:val="24"/>
          <w:szCs w:val="24"/>
          <w:lang w:val="ru-RU"/>
        </w:rPr>
        <w:t xml:space="preserve"> </w:t>
      </w:r>
      <w:r w:rsidR="00837103" w:rsidRPr="00E81A6E">
        <w:rPr>
          <w:rFonts w:ascii="Times New Roman" w:hAnsi="Times New Roman" w:cs="Times New Roman"/>
          <w:b/>
          <w:bCs/>
          <w:sz w:val="24"/>
          <w:szCs w:val="24"/>
          <w:lang w:val="ru-RU"/>
        </w:rPr>
        <w:t>60</w:t>
      </w:r>
      <w:r w:rsidRPr="00E81A6E">
        <w:rPr>
          <w:rFonts w:ascii="Times New Roman" w:hAnsi="Times New Roman" w:cs="Times New Roman"/>
          <w:b/>
          <w:bCs/>
          <w:sz w:val="24"/>
          <w:szCs w:val="24"/>
          <w:lang w:val="ru-RU"/>
        </w:rPr>
        <w:t>,</w:t>
      </w:r>
      <w:r w:rsidR="004D6E4A" w:rsidRPr="00E81A6E">
        <w:rPr>
          <w:rFonts w:ascii="Times New Roman" w:hAnsi="Times New Roman" w:cs="Times New Roman"/>
          <w:b/>
          <w:bCs/>
          <w:sz w:val="24"/>
          <w:szCs w:val="24"/>
          <w:lang w:val="ru-RU"/>
        </w:rPr>
        <w:t>5</w:t>
      </w:r>
      <w:r w:rsidR="00837103" w:rsidRPr="00E81A6E">
        <w:rPr>
          <w:rFonts w:ascii="Times New Roman" w:hAnsi="Times New Roman" w:cs="Times New Roman"/>
          <w:b/>
          <w:bCs/>
          <w:sz w:val="24"/>
          <w:szCs w:val="24"/>
          <w:lang w:val="ru-RU"/>
        </w:rPr>
        <w:t>64</w:t>
      </w:r>
      <w:r w:rsidRPr="00E81A6E">
        <w:rPr>
          <w:rFonts w:ascii="Times New Roman" w:hAnsi="Times New Roman" w:cs="Times New Roman"/>
          <w:b/>
          <w:bCs/>
          <w:sz w:val="24"/>
          <w:szCs w:val="24"/>
          <w:lang w:val="ru-RU"/>
        </w:rPr>
        <w:t>,</w:t>
      </w:r>
      <w:r w:rsidR="004D6E4A" w:rsidRPr="00E81A6E">
        <w:rPr>
          <w:rFonts w:ascii="Times New Roman" w:hAnsi="Times New Roman" w:cs="Times New Roman"/>
          <w:b/>
          <w:bCs/>
          <w:sz w:val="24"/>
          <w:szCs w:val="24"/>
          <w:lang w:val="ru-RU"/>
        </w:rPr>
        <w:t>851</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p>
    <w:p w14:paraId="5E96E766"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 това число за </w:t>
      </w:r>
      <w:r w:rsidRPr="00E81A6E">
        <w:rPr>
          <w:rFonts w:ascii="Times New Roman" w:hAnsi="Times New Roman" w:cs="Times New Roman"/>
          <w:b/>
          <w:bCs/>
          <w:sz w:val="24"/>
          <w:szCs w:val="24"/>
          <w:lang w:val="ru-RU"/>
        </w:rPr>
        <w:t xml:space="preserve">делегираните </w:t>
      </w:r>
      <w:r w:rsidR="00D5607F" w:rsidRPr="00E81A6E">
        <w:rPr>
          <w:rFonts w:ascii="Times New Roman" w:hAnsi="Times New Roman" w:cs="Times New Roman"/>
          <w:b/>
          <w:bCs/>
          <w:sz w:val="24"/>
          <w:szCs w:val="24"/>
          <w:lang w:val="ru-RU"/>
        </w:rPr>
        <w:t xml:space="preserve">държавни </w:t>
      </w:r>
      <w:r w:rsidRPr="00E81A6E">
        <w:rPr>
          <w:rFonts w:ascii="Times New Roman" w:hAnsi="Times New Roman" w:cs="Times New Roman"/>
          <w:b/>
          <w:bCs/>
          <w:sz w:val="24"/>
          <w:szCs w:val="24"/>
          <w:lang w:val="ru-RU"/>
        </w:rPr>
        <w:t>дейности</w:t>
      </w:r>
      <w:r w:rsidRPr="00E81A6E">
        <w:rPr>
          <w:rFonts w:ascii="Times New Roman" w:hAnsi="Times New Roman" w:cs="Times New Roman"/>
          <w:sz w:val="24"/>
          <w:szCs w:val="24"/>
          <w:lang w:val="ru-RU"/>
        </w:rPr>
        <w:t xml:space="preserve"> са разчетени </w:t>
      </w:r>
      <w:r w:rsidR="004D6E4A" w:rsidRPr="00E81A6E">
        <w:rPr>
          <w:rFonts w:ascii="Times New Roman" w:hAnsi="Times New Roman" w:cs="Times New Roman"/>
          <w:sz w:val="24"/>
          <w:szCs w:val="24"/>
          <w:lang w:val="ru-RU"/>
        </w:rPr>
        <w:t>4</w:t>
      </w:r>
      <w:r w:rsidR="00837103"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w:t>
      </w:r>
      <w:r w:rsidR="00837103" w:rsidRPr="00E81A6E">
        <w:rPr>
          <w:rFonts w:ascii="Times New Roman" w:hAnsi="Times New Roman" w:cs="Times New Roman"/>
          <w:sz w:val="24"/>
          <w:szCs w:val="24"/>
          <w:lang w:val="ru-RU"/>
        </w:rPr>
        <w:t>5</w:t>
      </w:r>
      <w:r w:rsidR="004D6E4A" w:rsidRPr="00E81A6E">
        <w:rPr>
          <w:rFonts w:ascii="Times New Roman" w:hAnsi="Times New Roman" w:cs="Times New Roman"/>
          <w:sz w:val="24"/>
          <w:szCs w:val="24"/>
          <w:lang w:val="ru-RU"/>
        </w:rPr>
        <w:t>46</w:t>
      </w:r>
      <w:r w:rsidRPr="00E81A6E">
        <w:rPr>
          <w:rFonts w:ascii="Times New Roman" w:hAnsi="Times New Roman" w:cs="Times New Roman"/>
          <w:sz w:val="24"/>
          <w:szCs w:val="24"/>
          <w:lang w:val="ru-RU"/>
        </w:rPr>
        <w:t>,</w:t>
      </w:r>
      <w:r w:rsidR="004D6E4A" w:rsidRPr="00E81A6E">
        <w:rPr>
          <w:rFonts w:ascii="Times New Roman" w:hAnsi="Times New Roman" w:cs="Times New Roman"/>
          <w:sz w:val="24"/>
          <w:szCs w:val="24"/>
          <w:lang w:val="ru-RU"/>
        </w:rPr>
        <w:t>297</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4D6E4A" w:rsidRPr="00E81A6E">
        <w:rPr>
          <w:rFonts w:ascii="Times New Roman" w:hAnsi="Times New Roman" w:cs="Times New Roman"/>
          <w:sz w:val="24"/>
          <w:szCs w:val="24"/>
          <w:lang w:val="ru-RU"/>
        </w:rPr>
        <w:t>, от които</w:t>
      </w:r>
      <w:r w:rsidRPr="00E81A6E">
        <w:rPr>
          <w:rFonts w:ascii="Times New Roman" w:hAnsi="Times New Roman" w:cs="Times New Roman"/>
          <w:sz w:val="24"/>
          <w:szCs w:val="24"/>
          <w:lang w:val="ru-RU"/>
        </w:rPr>
        <w:t xml:space="preserve"> от държавен трансфер </w:t>
      </w:r>
      <w:r w:rsidR="004D6E4A" w:rsidRPr="00E81A6E">
        <w:rPr>
          <w:rFonts w:ascii="Times New Roman" w:hAnsi="Times New Roman" w:cs="Times New Roman"/>
          <w:sz w:val="24"/>
          <w:szCs w:val="24"/>
          <w:lang w:val="ru-RU"/>
        </w:rPr>
        <w:t xml:space="preserve">39,271,969 лв. </w:t>
      </w:r>
      <w:r w:rsidRPr="00E81A6E">
        <w:rPr>
          <w:rFonts w:ascii="Times New Roman" w:hAnsi="Times New Roman" w:cs="Times New Roman"/>
          <w:sz w:val="24"/>
          <w:szCs w:val="24"/>
          <w:lang w:val="ru-RU"/>
        </w:rPr>
        <w:t xml:space="preserve">и </w:t>
      </w:r>
      <w:r w:rsidR="00837103"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w:t>
      </w:r>
      <w:r w:rsidR="00837103" w:rsidRPr="00E81A6E">
        <w:rPr>
          <w:rFonts w:ascii="Times New Roman" w:hAnsi="Times New Roman" w:cs="Times New Roman"/>
          <w:sz w:val="24"/>
          <w:szCs w:val="24"/>
          <w:lang w:val="ru-RU"/>
        </w:rPr>
        <w:t>274</w:t>
      </w:r>
      <w:r w:rsidRPr="00E81A6E">
        <w:rPr>
          <w:rFonts w:ascii="Times New Roman" w:hAnsi="Times New Roman" w:cs="Times New Roman"/>
          <w:sz w:val="24"/>
          <w:szCs w:val="24"/>
          <w:lang w:val="ru-RU"/>
        </w:rPr>
        <w:t>,</w:t>
      </w:r>
      <w:r w:rsidR="00837103" w:rsidRPr="00E81A6E">
        <w:rPr>
          <w:rFonts w:ascii="Times New Roman" w:hAnsi="Times New Roman" w:cs="Times New Roman"/>
          <w:sz w:val="24"/>
          <w:szCs w:val="24"/>
          <w:lang w:val="ru-RU"/>
        </w:rPr>
        <w:t>328</w:t>
      </w:r>
      <w:r w:rsidR="008E5645" w:rsidRPr="00E81A6E">
        <w:rPr>
          <w:rFonts w:ascii="Times New Roman" w:hAnsi="Times New Roman" w:cs="Times New Roman"/>
          <w:sz w:val="24"/>
          <w:szCs w:val="24"/>
          <w:lang w:val="ru-RU"/>
        </w:rPr>
        <w:t xml:space="preserve"> лв.</w:t>
      </w:r>
      <w:r w:rsidRPr="00E81A6E">
        <w:rPr>
          <w:rFonts w:ascii="Times New Roman" w:hAnsi="Times New Roman" w:cs="Times New Roman"/>
          <w:sz w:val="24"/>
          <w:szCs w:val="24"/>
          <w:lang w:val="ru-RU"/>
        </w:rPr>
        <w:t xml:space="preserve"> от преходен остатък</w:t>
      </w:r>
      <w:r w:rsidR="004D6E4A" w:rsidRPr="00E81A6E">
        <w:rPr>
          <w:rFonts w:ascii="Times New Roman" w:hAnsi="Times New Roman" w:cs="Times New Roman"/>
          <w:sz w:val="24"/>
          <w:szCs w:val="24"/>
          <w:lang w:val="ru-RU"/>
        </w:rPr>
        <w:t>.</w:t>
      </w:r>
      <w:r w:rsidR="000F541F" w:rsidRPr="00E81A6E">
        <w:rPr>
          <w:rFonts w:ascii="Times New Roman" w:hAnsi="Times New Roman" w:cs="Times New Roman"/>
          <w:sz w:val="24"/>
          <w:szCs w:val="24"/>
          <w:lang w:val="ru-RU"/>
        </w:rPr>
        <w:t xml:space="preserve"> Средствата за делегираните дейности в здравеопазването, разчетени с</w:t>
      </w:r>
      <w:r w:rsidR="00D5607F" w:rsidRPr="00E81A6E">
        <w:rPr>
          <w:rFonts w:ascii="Times New Roman" w:hAnsi="Times New Roman" w:cs="Times New Roman"/>
          <w:sz w:val="24"/>
          <w:szCs w:val="24"/>
          <w:lang w:val="ru-RU"/>
        </w:rPr>
        <w:t>ъс</w:t>
      </w:r>
      <w:r w:rsidR="000F541F" w:rsidRPr="00E81A6E">
        <w:rPr>
          <w:rFonts w:ascii="Times New Roman" w:hAnsi="Times New Roman" w:cs="Times New Roman"/>
          <w:sz w:val="24"/>
          <w:szCs w:val="24"/>
          <w:lang w:val="ru-RU"/>
        </w:rPr>
        <w:t xml:space="preserve"> ЗДБРБ за 2021г.</w:t>
      </w:r>
      <w:r w:rsidR="00D5607F" w:rsidRPr="00E81A6E">
        <w:rPr>
          <w:rFonts w:ascii="Times New Roman" w:hAnsi="Times New Roman" w:cs="Times New Roman"/>
          <w:sz w:val="24"/>
          <w:szCs w:val="24"/>
          <w:lang w:val="ru-RU"/>
        </w:rPr>
        <w:t>,</w:t>
      </w:r>
      <w:r w:rsidR="000F541F" w:rsidRPr="00E81A6E">
        <w:rPr>
          <w:rFonts w:ascii="Times New Roman" w:hAnsi="Times New Roman" w:cs="Times New Roman"/>
          <w:sz w:val="24"/>
          <w:szCs w:val="24"/>
          <w:lang w:val="ru-RU"/>
        </w:rPr>
        <w:t xml:space="preserve"> са увеличени със 7,624,383 лв. спрямо 2020г.</w:t>
      </w:r>
    </w:p>
    <w:p w14:paraId="5E38128A" w14:textId="77777777" w:rsidR="00261416" w:rsidRPr="00E81A6E" w:rsidRDefault="00261416"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eastAsia="bg-BG"/>
        </w:rPr>
        <w:t>Кметът на общината определя числеността на персонала за делегираните о</w:t>
      </w:r>
      <w:r w:rsidR="00147DB3" w:rsidRPr="00E81A6E">
        <w:rPr>
          <w:rFonts w:ascii="Times New Roman" w:hAnsi="Times New Roman" w:cs="Times New Roman"/>
          <w:sz w:val="24"/>
          <w:szCs w:val="24"/>
          <w:lang w:val="bg-BG" w:eastAsia="bg-BG"/>
        </w:rPr>
        <w:t>т държавата дейности във функция</w:t>
      </w:r>
      <w:r w:rsidRPr="00E81A6E">
        <w:rPr>
          <w:rFonts w:ascii="Times New Roman" w:hAnsi="Times New Roman" w:cs="Times New Roman"/>
          <w:sz w:val="24"/>
          <w:szCs w:val="24"/>
          <w:lang w:val="bg-BG" w:eastAsia="bg-BG"/>
        </w:rPr>
        <w:t>т</w:t>
      </w:r>
      <w:r w:rsidR="00147DB3" w:rsidRPr="00E81A6E">
        <w:rPr>
          <w:rFonts w:ascii="Times New Roman" w:hAnsi="Times New Roman" w:cs="Times New Roman"/>
          <w:sz w:val="24"/>
          <w:szCs w:val="24"/>
          <w:lang w:val="bg-BG" w:eastAsia="bg-BG"/>
        </w:rPr>
        <w:t>а</w:t>
      </w:r>
      <w:r w:rsidRPr="00E81A6E">
        <w:rPr>
          <w:rFonts w:ascii="Times New Roman" w:hAnsi="Times New Roman" w:cs="Times New Roman"/>
          <w:sz w:val="24"/>
          <w:szCs w:val="24"/>
          <w:lang w:val="bg-BG" w:eastAsia="bg-BG"/>
        </w:rPr>
        <w:t xml:space="preserve"> „Здравеопазване</w:t>
      </w:r>
      <w:r w:rsidR="00147DB3" w:rsidRPr="00E81A6E">
        <w:rPr>
          <w:rFonts w:ascii="Times New Roman" w:hAnsi="Times New Roman" w:cs="Times New Roman"/>
          <w:sz w:val="24"/>
          <w:szCs w:val="24"/>
          <w:lang w:val="bg-BG" w:eastAsia="bg-BG"/>
        </w:rPr>
        <w:t>“,</w:t>
      </w:r>
      <w:r w:rsidRPr="00E81A6E">
        <w:rPr>
          <w:rFonts w:ascii="Times New Roman" w:hAnsi="Times New Roman" w:cs="Times New Roman"/>
          <w:sz w:val="24"/>
          <w:szCs w:val="24"/>
          <w:lang w:val="bg-BG" w:eastAsia="bg-BG"/>
        </w:rPr>
        <w:t xml:space="preserve"> в рамките на средствата, определени по стандартите.</w:t>
      </w:r>
    </w:p>
    <w:p w14:paraId="282C13D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ru-RU"/>
        </w:rPr>
        <w:t>Делегирани дейности</w:t>
      </w:r>
      <w:r w:rsidRPr="00E81A6E">
        <w:rPr>
          <w:rFonts w:ascii="Times New Roman" w:hAnsi="Times New Roman" w:cs="Times New Roman"/>
          <w:sz w:val="24"/>
          <w:szCs w:val="24"/>
          <w:lang w:val="ru-RU"/>
        </w:rPr>
        <w:t xml:space="preserve"> в здравеопазването </w:t>
      </w:r>
      <w:r w:rsidRPr="00E81A6E">
        <w:rPr>
          <w:rFonts w:ascii="Times New Roman" w:hAnsi="Times New Roman" w:cs="Times New Roman"/>
          <w:sz w:val="24"/>
          <w:szCs w:val="24"/>
          <w:lang w:val="bg-BG"/>
        </w:rPr>
        <w:t>включват:</w:t>
      </w:r>
    </w:p>
    <w:p w14:paraId="3E022BE5" w14:textId="77777777" w:rsidR="00D3372A" w:rsidRPr="00E81A6E" w:rsidRDefault="00D3372A"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Детски ясли, детски кухни и яслени групи към детски градини - заплати, други възнаграждения и плащания за персонала и задължителни осигурителни вноски от работодатели и по Закона за здравословни и безопасни  условия на труд;</w:t>
      </w:r>
    </w:p>
    <w:p w14:paraId="745AD5A4" w14:textId="77777777" w:rsidR="00D3372A" w:rsidRPr="00E81A6E" w:rsidRDefault="00D3372A"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Здравни кабинети в детски градини и училища;</w:t>
      </w:r>
    </w:p>
    <w:p w14:paraId="5BC2F288" w14:textId="77777777" w:rsidR="00D3372A" w:rsidRPr="00E81A6E" w:rsidRDefault="00D3372A" w:rsidP="00F55B06">
      <w:pPr>
        <w:spacing w:after="0" w:line="240" w:lineRule="auto"/>
        <w:ind w:firstLine="720"/>
        <w:contextualSpacing/>
        <w:jc w:val="both"/>
        <w:rPr>
          <w:rFonts w:ascii="Times New Roman" w:hAnsi="Times New Roman" w:cs="Times New Roman"/>
          <w:b/>
          <w:bCs/>
          <w:sz w:val="24"/>
          <w:szCs w:val="24"/>
          <w:lang w:val="bg-BG" w:eastAsia="bg-BG"/>
        </w:rPr>
      </w:pPr>
      <w:r w:rsidRPr="00E81A6E">
        <w:rPr>
          <w:rFonts w:ascii="Times New Roman" w:hAnsi="Times New Roman" w:cs="Times New Roman"/>
          <w:sz w:val="24"/>
          <w:szCs w:val="24"/>
          <w:lang w:val="bg-BG" w:eastAsia="bg-BG"/>
        </w:rPr>
        <w:t>Други дейности по здравеопазването</w:t>
      </w:r>
      <w:r w:rsidR="00147DB3" w:rsidRPr="00E81A6E">
        <w:rPr>
          <w:rFonts w:ascii="Times New Roman" w:hAnsi="Times New Roman" w:cs="Times New Roman"/>
          <w:sz w:val="24"/>
          <w:szCs w:val="24"/>
          <w:lang w:val="bg-BG" w:eastAsia="bg-BG"/>
        </w:rPr>
        <w:t>,</w:t>
      </w:r>
      <w:r w:rsidRPr="00E81A6E">
        <w:rPr>
          <w:rFonts w:ascii="Times New Roman" w:hAnsi="Times New Roman" w:cs="Times New Roman"/>
          <w:sz w:val="24"/>
          <w:szCs w:val="24"/>
          <w:lang w:val="bg-BG" w:eastAsia="bg-BG"/>
        </w:rPr>
        <w:t xml:space="preserve"> в т.ч: общински съвети по наркотичните вещества и превантивни информационни центрове, здравни медиатори - заплати, други възнаграждения и плащания за персонала, задължителни осигурителни вноски от работодатели и по Закона за здравословни и безопасни  условия на труд; пътни разходи на правоимащи болни и средства за командировки на експертите от териториалните експертни лекарски комисии (ТЕЛК).</w:t>
      </w:r>
    </w:p>
    <w:p w14:paraId="60DF3248" w14:textId="77777777" w:rsidR="00697539" w:rsidRPr="00E81A6E" w:rsidRDefault="00697539"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bg-BG" w:eastAsia="bg-BG"/>
        </w:rPr>
        <w:lastRenderedPageBreak/>
        <w:t>Общинските съвети по наркотичните вещества представят информация на министъра на здравеопазването за извършената дейност за всяко тримесечие.</w:t>
      </w:r>
    </w:p>
    <w:p w14:paraId="6D98DD0E" w14:textId="77777777" w:rsidR="00AD4775" w:rsidRPr="00E81A6E" w:rsidRDefault="00AD4775"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Въведен е нов стандарт за 2021г. – допълващ стандарт за психосоциална рехабилитация. В това число за психосоциална рехабилитация нерезиденциален тип 3</w:t>
      </w:r>
      <w:r w:rsidR="00DF2407"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6,000лв. и за психосоциална рехабилитация резиденциален тип 669,900лв. Средствата са разпределени към Общински съвет по наркотични вещества към Столична община.</w:t>
      </w:r>
    </w:p>
    <w:p w14:paraId="1C654751" w14:textId="77777777" w:rsidR="001F6B2A" w:rsidRPr="00E81A6E" w:rsidRDefault="001F6B2A"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 детските ясли</w:t>
      </w:r>
      <w:r w:rsidR="00477F6C" w:rsidRPr="00E81A6E">
        <w:rPr>
          <w:rFonts w:ascii="Times New Roman" w:hAnsi="Times New Roman" w:cs="Times New Roman"/>
          <w:sz w:val="24"/>
          <w:szCs w:val="24"/>
          <w:lang w:val="bg-BG"/>
        </w:rPr>
        <w:t>,</w:t>
      </w:r>
      <w:r w:rsidRPr="00E81A6E">
        <w:rPr>
          <w:rFonts w:ascii="Times New Roman" w:hAnsi="Times New Roman" w:cs="Times New Roman"/>
          <w:sz w:val="24"/>
          <w:szCs w:val="24"/>
          <w:lang w:val="bg-BG"/>
        </w:rPr>
        <w:t xml:space="preserve"> с преходен остатък </w:t>
      </w:r>
      <w:r w:rsidR="00296532" w:rsidRPr="00E81A6E">
        <w:rPr>
          <w:rFonts w:ascii="Times New Roman" w:hAnsi="Times New Roman" w:cs="Times New Roman"/>
          <w:sz w:val="24"/>
          <w:szCs w:val="24"/>
          <w:lang w:val="bg-BG"/>
        </w:rPr>
        <w:t>от 2020г.</w:t>
      </w:r>
      <w:r w:rsidR="009304EB" w:rsidRPr="00E81A6E">
        <w:rPr>
          <w:rFonts w:ascii="Times New Roman" w:hAnsi="Times New Roman" w:cs="Times New Roman"/>
          <w:sz w:val="24"/>
          <w:szCs w:val="24"/>
          <w:lang w:val="bg-BG"/>
        </w:rPr>
        <w:t xml:space="preserve"> в делегираната държавна дейност</w:t>
      </w:r>
      <w:r w:rsidR="00296532" w:rsidRPr="00E81A6E">
        <w:rPr>
          <w:rFonts w:ascii="Times New Roman" w:hAnsi="Times New Roman" w:cs="Times New Roman"/>
          <w:sz w:val="24"/>
          <w:szCs w:val="24"/>
          <w:lang w:val="bg-BG"/>
        </w:rPr>
        <w:t xml:space="preserve"> </w:t>
      </w:r>
      <w:r w:rsidR="009A68FB" w:rsidRPr="00E81A6E">
        <w:rPr>
          <w:rFonts w:ascii="Times New Roman" w:hAnsi="Times New Roman" w:cs="Times New Roman"/>
          <w:sz w:val="24"/>
          <w:szCs w:val="24"/>
          <w:lang w:val="bg-BG"/>
        </w:rPr>
        <w:t>в размер на 846 060лв.</w:t>
      </w:r>
      <w:r w:rsidR="009304EB" w:rsidRPr="00E81A6E">
        <w:rPr>
          <w:rFonts w:ascii="Times New Roman" w:hAnsi="Times New Roman" w:cs="Times New Roman"/>
          <w:sz w:val="24"/>
          <w:szCs w:val="24"/>
          <w:lang w:val="bg-BG"/>
        </w:rPr>
        <w:t>,</w:t>
      </w:r>
      <w:r w:rsidR="009A68FB"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 xml:space="preserve">през 2021г. </w:t>
      </w:r>
      <w:r w:rsidR="009A68FB" w:rsidRPr="00E81A6E">
        <w:rPr>
          <w:rFonts w:ascii="Times New Roman" w:hAnsi="Times New Roman" w:cs="Times New Roman"/>
          <w:sz w:val="24"/>
          <w:szCs w:val="24"/>
          <w:lang w:val="bg-BG"/>
        </w:rPr>
        <w:t xml:space="preserve">ще се финансира </w:t>
      </w:r>
      <w:r w:rsidRPr="00E81A6E">
        <w:rPr>
          <w:rFonts w:ascii="Times New Roman" w:hAnsi="Times New Roman" w:cs="Times New Roman"/>
          <w:sz w:val="24"/>
          <w:szCs w:val="24"/>
          <w:lang w:val="bg-BG"/>
        </w:rPr>
        <w:t>издръжка</w:t>
      </w:r>
      <w:r w:rsidR="009A68FB" w:rsidRPr="00E81A6E">
        <w:rPr>
          <w:rFonts w:ascii="Times New Roman" w:hAnsi="Times New Roman" w:cs="Times New Roman"/>
          <w:sz w:val="24"/>
          <w:szCs w:val="24"/>
          <w:lang w:val="bg-BG"/>
        </w:rPr>
        <w:t>.</w:t>
      </w:r>
    </w:p>
    <w:p w14:paraId="746DB12F" w14:textId="77777777" w:rsidR="009304EB" w:rsidRPr="00E81A6E" w:rsidRDefault="009304EB"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p>
    <w:p w14:paraId="2F33523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 xml:space="preserve">За </w:t>
      </w:r>
      <w:r w:rsidRPr="00E81A6E">
        <w:rPr>
          <w:rFonts w:ascii="Times New Roman" w:hAnsi="Times New Roman" w:cs="Times New Roman"/>
          <w:b/>
          <w:bCs/>
          <w:sz w:val="24"/>
          <w:szCs w:val="24"/>
          <w:lang w:val="ru-RU"/>
        </w:rPr>
        <w:t>общински дейности</w:t>
      </w:r>
      <w:r w:rsidRPr="00E81A6E">
        <w:rPr>
          <w:rFonts w:ascii="Times New Roman" w:hAnsi="Times New Roman" w:cs="Times New Roman"/>
          <w:sz w:val="24"/>
          <w:szCs w:val="24"/>
          <w:lang w:val="ru-RU"/>
        </w:rPr>
        <w:t xml:space="preserve"> по бюджета за 20</w:t>
      </w:r>
      <w:r w:rsidR="006943C6" w:rsidRPr="00E81A6E">
        <w:rPr>
          <w:rFonts w:ascii="Times New Roman" w:hAnsi="Times New Roman" w:cs="Times New Roman"/>
          <w:sz w:val="24"/>
          <w:szCs w:val="24"/>
          <w:lang w:val="ru-RU"/>
        </w:rPr>
        <w:t>2</w:t>
      </w:r>
      <w:r w:rsidR="00296532" w:rsidRPr="00E81A6E">
        <w:rPr>
          <w:rFonts w:ascii="Times New Roman" w:hAnsi="Times New Roman" w:cs="Times New Roman"/>
          <w:sz w:val="24"/>
          <w:szCs w:val="24"/>
          <w:lang w:val="ru-RU"/>
        </w:rPr>
        <w:t>1</w:t>
      </w:r>
      <w:r w:rsidR="00AC52E9" w:rsidRPr="00E81A6E">
        <w:rPr>
          <w:rFonts w:ascii="Times New Roman" w:hAnsi="Times New Roman" w:cs="Times New Roman"/>
          <w:sz w:val="24"/>
          <w:szCs w:val="24"/>
          <w:lang w:val="ru-RU"/>
        </w:rPr>
        <w:t>г.</w:t>
      </w:r>
      <w:r w:rsidRPr="00E81A6E">
        <w:rPr>
          <w:rFonts w:ascii="Times New Roman" w:hAnsi="Times New Roman" w:cs="Times New Roman"/>
          <w:sz w:val="24"/>
          <w:szCs w:val="24"/>
          <w:lang w:val="ru-RU"/>
        </w:rPr>
        <w:t xml:space="preserve"> са предвидени 1</w:t>
      </w:r>
      <w:r w:rsidR="00296532"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w:t>
      </w:r>
      <w:r w:rsidR="00296532" w:rsidRPr="00E81A6E">
        <w:rPr>
          <w:rFonts w:ascii="Times New Roman" w:hAnsi="Times New Roman" w:cs="Times New Roman"/>
          <w:sz w:val="24"/>
          <w:szCs w:val="24"/>
          <w:lang w:val="ru-RU"/>
        </w:rPr>
        <w:t>759</w:t>
      </w:r>
      <w:r w:rsidRPr="00E81A6E">
        <w:rPr>
          <w:rFonts w:ascii="Times New Roman" w:hAnsi="Times New Roman" w:cs="Times New Roman"/>
          <w:sz w:val="24"/>
          <w:szCs w:val="24"/>
          <w:lang w:val="ru-RU"/>
        </w:rPr>
        <w:t>,</w:t>
      </w:r>
      <w:r w:rsidR="00296532" w:rsidRPr="00E81A6E">
        <w:rPr>
          <w:rFonts w:ascii="Times New Roman" w:hAnsi="Times New Roman" w:cs="Times New Roman"/>
          <w:sz w:val="24"/>
          <w:szCs w:val="24"/>
          <w:lang w:val="ru-RU"/>
        </w:rPr>
        <w:t>615</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издръжка. </w:t>
      </w:r>
      <w:r w:rsidRPr="00E81A6E">
        <w:rPr>
          <w:rFonts w:ascii="Times New Roman" w:hAnsi="Times New Roman" w:cs="Times New Roman"/>
          <w:sz w:val="24"/>
          <w:szCs w:val="24"/>
        </w:rPr>
        <w:t>Общински дейности са:</w:t>
      </w:r>
    </w:p>
    <w:p w14:paraId="5EE59817" w14:textId="77777777" w:rsidR="006F5B92" w:rsidRPr="00E81A6E" w:rsidRDefault="006F5B92" w:rsidP="00350B12">
      <w:pPr>
        <w:pStyle w:val="ListParagraph"/>
        <w:numPr>
          <w:ilvl w:val="0"/>
          <w:numId w:val="24"/>
        </w:numPr>
        <w:spacing w:after="0" w:line="240" w:lineRule="auto"/>
        <w:contextualSpacing/>
        <w:jc w:val="both"/>
        <w:rPr>
          <w:rFonts w:ascii="Times New Roman" w:hAnsi="Times New Roman" w:cs="Times New Roman"/>
          <w:iCs/>
          <w:sz w:val="24"/>
          <w:szCs w:val="24"/>
          <w:lang w:val="ru-RU"/>
        </w:rPr>
      </w:pPr>
      <w:r w:rsidRPr="00E81A6E">
        <w:rPr>
          <w:rFonts w:ascii="Times New Roman" w:hAnsi="Times New Roman" w:cs="Times New Roman"/>
          <w:iCs/>
          <w:sz w:val="24"/>
          <w:szCs w:val="24"/>
          <w:lang w:val="ru-RU"/>
        </w:rPr>
        <w:t>издръжката на комплексите за детско хранене</w:t>
      </w:r>
      <w:r w:rsidRPr="00E81A6E">
        <w:rPr>
          <w:rFonts w:ascii="Times New Roman" w:hAnsi="Times New Roman" w:cs="Times New Roman"/>
          <w:iCs/>
          <w:sz w:val="24"/>
          <w:szCs w:val="24"/>
          <w:lang w:val="bg-BG"/>
        </w:rPr>
        <w:t>;</w:t>
      </w:r>
      <w:r w:rsidRPr="00E81A6E">
        <w:rPr>
          <w:rFonts w:ascii="Times New Roman" w:hAnsi="Times New Roman" w:cs="Times New Roman"/>
          <w:iCs/>
          <w:sz w:val="24"/>
          <w:szCs w:val="24"/>
          <w:lang w:val="ru-RU"/>
        </w:rPr>
        <w:t xml:space="preserve"> </w:t>
      </w:r>
    </w:p>
    <w:p w14:paraId="29088638" w14:textId="77777777" w:rsidR="006F5B92" w:rsidRPr="00E81A6E" w:rsidRDefault="006F5B92" w:rsidP="00350B12">
      <w:pPr>
        <w:pStyle w:val="ListParagraph"/>
        <w:numPr>
          <w:ilvl w:val="0"/>
          <w:numId w:val="24"/>
        </w:numPr>
        <w:spacing w:after="0" w:line="240" w:lineRule="auto"/>
        <w:contextualSpacing/>
        <w:jc w:val="both"/>
        <w:rPr>
          <w:rFonts w:ascii="Times New Roman" w:hAnsi="Times New Roman" w:cs="Times New Roman"/>
          <w:iCs/>
          <w:sz w:val="24"/>
          <w:szCs w:val="24"/>
          <w:lang w:val="ru-RU"/>
        </w:rPr>
      </w:pPr>
      <w:r w:rsidRPr="00E81A6E">
        <w:rPr>
          <w:rFonts w:ascii="Times New Roman" w:hAnsi="Times New Roman" w:cs="Times New Roman"/>
          <w:iCs/>
          <w:sz w:val="24"/>
          <w:szCs w:val="24"/>
          <w:lang w:val="ru-RU"/>
        </w:rPr>
        <w:t>издръжката на детските ясли;</w:t>
      </w:r>
    </w:p>
    <w:p w14:paraId="4711E058" w14:textId="77777777" w:rsidR="006F5B92" w:rsidRPr="00E81A6E" w:rsidRDefault="006F5B92" w:rsidP="00350B12">
      <w:pPr>
        <w:pStyle w:val="ListParagraph"/>
        <w:numPr>
          <w:ilvl w:val="0"/>
          <w:numId w:val="24"/>
        </w:numPr>
        <w:spacing w:after="0" w:line="240" w:lineRule="auto"/>
        <w:contextualSpacing/>
        <w:jc w:val="both"/>
        <w:rPr>
          <w:rFonts w:ascii="Times New Roman" w:hAnsi="Times New Roman" w:cs="Times New Roman"/>
          <w:iCs/>
          <w:sz w:val="24"/>
          <w:szCs w:val="24"/>
          <w:lang w:val="ru-RU"/>
        </w:rPr>
      </w:pPr>
      <w:r w:rsidRPr="00E81A6E">
        <w:rPr>
          <w:rFonts w:ascii="Times New Roman" w:hAnsi="Times New Roman" w:cs="Times New Roman"/>
          <w:iCs/>
          <w:sz w:val="24"/>
          <w:szCs w:val="24"/>
          <w:lang w:val="ru-RU"/>
        </w:rPr>
        <w:t xml:space="preserve">специализираните болници за долекуване, продължително лечение и рехабилитация – 4 броя; </w:t>
      </w:r>
    </w:p>
    <w:p w14:paraId="13D86D2F" w14:textId="77777777" w:rsidR="006F5B92" w:rsidRPr="00E81A6E" w:rsidRDefault="006F5B92" w:rsidP="00350B12">
      <w:pPr>
        <w:pStyle w:val="ListParagraph"/>
        <w:numPr>
          <w:ilvl w:val="0"/>
          <w:numId w:val="24"/>
        </w:numPr>
        <w:spacing w:after="0" w:line="240" w:lineRule="auto"/>
        <w:contextualSpacing/>
        <w:jc w:val="both"/>
        <w:rPr>
          <w:rFonts w:ascii="Times New Roman" w:hAnsi="Times New Roman" w:cs="Times New Roman"/>
          <w:iCs/>
          <w:sz w:val="24"/>
          <w:szCs w:val="24"/>
          <w:lang w:val="ru-RU"/>
        </w:rPr>
      </w:pPr>
      <w:r w:rsidRPr="00E81A6E">
        <w:rPr>
          <w:rFonts w:ascii="Times New Roman" w:hAnsi="Times New Roman" w:cs="Times New Roman"/>
          <w:iCs/>
          <w:sz w:val="24"/>
          <w:szCs w:val="24"/>
          <w:lang w:val="ru-RU"/>
        </w:rPr>
        <w:t xml:space="preserve">четири общински многопрофилни болници за активно лечение; </w:t>
      </w:r>
    </w:p>
    <w:p w14:paraId="70E1560C" w14:textId="77777777" w:rsidR="006F5B92" w:rsidRPr="00E81A6E" w:rsidRDefault="006F5B92" w:rsidP="00350B12">
      <w:pPr>
        <w:pStyle w:val="ListParagraph"/>
        <w:numPr>
          <w:ilvl w:val="0"/>
          <w:numId w:val="24"/>
        </w:numPr>
        <w:spacing w:after="0" w:line="240" w:lineRule="auto"/>
        <w:contextualSpacing/>
        <w:jc w:val="both"/>
        <w:rPr>
          <w:rFonts w:ascii="Times New Roman" w:hAnsi="Times New Roman" w:cs="Times New Roman"/>
          <w:iCs/>
          <w:sz w:val="24"/>
          <w:szCs w:val="24"/>
        </w:rPr>
      </w:pPr>
      <w:r w:rsidRPr="00E81A6E">
        <w:rPr>
          <w:rFonts w:ascii="Times New Roman" w:hAnsi="Times New Roman" w:cs="Times New Roman"/>
          <w:iCs/>
          <w:sz w:val="24"/>
          <w:szCs w:val="24"/>
        </w:rPr>
        <w:t>дв</w:t>
      </w:r>
      <w:r w:rsidR="00DF2407" w:rsidRPr="00E81A6E">
        <w:rPr>
          <w:rFonts w:ascii="Times New Roman" w:hAnsi="Times New Roman" w:cs="Times New Roman"/>
          <w:iCs/>
          <w:sz w:val="24"/>
          <w:szCs w:val="24"/>
        </w:rPr>
        <w:t>е акушеро-гинекологични болници</w:t>
      </w:r>
      <w:r w:rsidR="00DF2407" w:rsidRPr="00E81A6E">
        <w:rPr>
          <w:rFonts w:ascii="Times New Roman" w:hAnsi="Times New Roman" w:cs="Times New Roman"/>
          <w:iCs/>
          <w:sz w:val="24"/>
          <w:szCs w:val="24"/>
          <w:lang w:val="bg-BG"/>
        </w:rPr>
        <w:t>;</w:t>
      </w:r>
    </w:p>
    <w:p w14:paraId="0FAF107C" w14:textId="77777777" w:rsidR="00DF2407" w:rsidRPr="00E81A6E" w:rsidRDefault="00DF2407" w:rsidP="00350B12">
      <w:pPr>
        <w:pStyle w:val="ListParagraph"/>
        <w:numPr>
          <w:ilvl w:val="0"/>
          <w:numId w:val="24"/>
        </w:numPr>
        <w:spacing w:after="0" w:line="240" w:lineRule="auto"/>
        <w:contextualSpacing/>
        <w:jc w:val="both"/>
        <w:rPr>
          <w:rFonts w:ascii="Times New Roman" w:hAnsi="Times New Roman" w:cs="Times New Roman"/>
          <w:iCs/>
          <w:sz w:val="24"/>
          <w:szCs w:val="24"/>
        </w:rPr>
      </w:pPr>
      <w:r w:rsidRPr="00E81A6E">
        <w:rPr>
          <w:rFonts w:ascii="Times New Roman" w:hAnsi="Times New Roman" w:cs="Times New Roman"/>
          <w:iCs/>
          <w:sz w:val="24"/>
          <w:szCs w:val="24"/>
          <w:lang w:val="bg-BG"/>
        </w:rPr>
        <w:t>Специализирана болница за активно лечение на онкологични заболявания – София град;</w:t>
      </w:r>
    </w:p>
    <w:p w14:paraId="4A181DEB" w14:textId="77777777" w:rsidR="00DF2407" w:rsidRPr="00E81A6E" w:rsidRDefault="00DF2407" w:rsidP="00350B12">
      <w:pPr>
        <w:pStyle w:val="ListParagraph"/>
        <w:numPr>
          <w:ilvl w:val="0"/>
          <w:numId w:val="24"/>
        </w:numPr>
        <w:spacing w:after="0" w:line="240" w:lineRule="auto"/>
        <w:contextualSpacing/>
        <w:jc w:val="both"/>
        <w:rPr>
          <w:rFonts w:ascii="Times New Roman" w:hAnsi="Times New Roman" w:cs="Times New Roman"/>
          <w:iCs/>
          <w:sz w:val="24"/>
          <w:szCs w:val="24"/>
        </w:rPr>
      </w:pPr>
      <w:r w:rsidRPr="00E81A6E">
        <w:rPr>
          <w:rFonts w:ascii="Times New Roman" w:hAnsi="Times New Roman" w:cs="Times New Roman"/>
          <w:iCs/>
          <w:sz w:val="24"/>
          <w:szCs w:val="24"/>
          <w:lang w:val="bg-BG"/>
        </w:rPr>
        <w:t>Център за психично здраве – София град;</w:t>
      </w:r>
    </w:p>
    <w:p w14:paraId="1A40950B" w14:textId="77777777" w:rsidR="00DF2407" w:rsidRPr="00E81A6E" w:rsidRDefault="00DF2407" w:rsidP="00350B12">
      <w:pPr>
        <w:pStyle w:val="ListParagraph"/>
        <w:numPr>
          <w:ilvl w:val="0"/>
          <w:numId w:val="24"/>
        </w:numPr>
        <w:spacing w:after="0" w:line="240" w:lineRule="auto"/>
        <w:contextualSpacing/>
        <w:jc w:val="both"/>
        <w:rPr>
          <w:rFonts w:ascii="Times New Roman" w:hAnsi="Times New Roman" w:cs="Times New Roman"/>
          <w:iCs/>
          <w:sz w:val="24"/>
          <w:szCs w:val="24"/>
        </w:rPr>
      </w:pPr>
      <w:r w:rsidRPr="00E81A6E">
        <w:rPr>
          <w:rFonts w:ascii="Times New Roman" w:hAnsi="Times New Roman" w:cs="Times New Roman"/>
          <w:iCs/>
          <w:sz w:val="24"/>
          <w:szCs w:val="24"/>
          <w:lang w:val="bg-BG"/>
        </w:rPr>
        <w:t>Център за кожно-венерически заболявания – София град.</w:t>
      </w:r>
    </w:p>
    <w:p w14:paraId="3AA28437" w14:textId="77777777" w:rsidR="004C40E6" w:rsidRPr="00E81A6E" w:rsidRDefault="004C40E6" w:rsidP="004C40E6">
      <w:pPr>
        <w:pStyle w:val="ListParagraph"/>
        <w:spacing w:after="0" w:line="240" w:lineRule="auto"/>
        <w:ind w:left="1260"/>
        <w:contextualSpacing/>
        <w:jc w:val="both"/>
        <w:rPr>
          <w:rFonts w:ascii="Times New Roman" w:hAnsi="Times New Roman" w:cs="Times New Roman"/>
          <w:iCs/>
          <w:sz w:val="24"/>
          <w:szCs w:val="24"/>
        </w:rPr>
      </w:pPr>
    </w:p>
    <w:p w14:paraId="07B6F4D2" w14:textId="77777777" w:rsidR="00F827FD"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Изброените лечебни заведения се финансират за дейности извън обхвата на задължителното здравно осигуряване</w:t>
      </w:r>
      <w:r w:rsidRPr="00E81A6E">
        <w:rPr>
          <w:rFonts w:ascii="Times New Roman" w:hAnsi="Times New Roman" w:cs="Times New Roman"/>
          <w:sz w:val="24"/>
          <w:szCs w:val="24"/>
          <w:lang w:val="bg-BG"/>
        </w:rPr>
        <w:t>, на основание сключени договори със Столична община. Разчетените средства по договори и за общински програми са в размер на 10,</w:t>
      </w:r>
      <w:r w:rsidR="006943C6" w:rsidRPr="00E81A6E">
        <w:rPr>
          <w:rFonts w:ascii="Times New Roman" w:hAnsi="Times New Roman" w:cs="Times New Roman"/>
          <w:sz w:val="24"/>
          <w:szCs w:val="24"/>
          <w:lang w:val="bg-BG"/>
        </w:rPr>
        <w:t>5</w:t>
      </w:r>
      <w:r w:rsidRPr="00E81A6E">
        <w:rPr>
          <w:rFonts w:ascii="Times New Roman" w:hAnsi="Times New Roman" w:cs="Times New Roman"/>
          <w:sz w:val="24"/>
          <w:szCs w:val="24"/>
          <w:lang w:val="bg-BG"/>
        </w:rPr>
        <w:t>00,000</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bg-BG"/>
        </w:rPr>
        <w:t xml:space="preserve"> През 20</w:t>
      </w:r>
      <w:r w:rsidR="006943C6" w:rsidRPr="00E81A6E">
        <w:rPr>
          <w:rFonts w:ascii="Times New Roman" w:hAnsi="Times New Roman" w:cs="Times New Roman"/>
          <w:sz w:val="24"/>
          <w:szCs w:val="24"/>
          <w:lang w:val="bg-BG"/>
        </w:rPr>
        <w:t>2</w:t>
      </w:r>
      <w:r w:rsidR="00296532"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г. продължава програмното бюджетиране в направление „Здравеопазване“ за Програма „Общински болници“, описана в приложение към доклада.</w:t>
      </w:r>
      <w:r w:rsidR="00B26384" w:rsidRPr="00E81A6E">
        <w:rPr>
          <w:rFonts w:ascii="Times New Roman" w:hAnsi="Times New Roman" w:cs="Times New Roman"/>
          <w:sz w:val="24"/>
          <w:szCs w:val="24"/>
          <w:lang w:val="bg-BG"/>
        </w:rPr>
        <w:t xml:space="preserve"> </w:t>
      </w:r>
      <w:r w:rsidR="00F827FD" w:rsidRPr="00E81A6E">
        <w:rPr>
          <w:rFonts w:ascii="Times New Roman" w:hAnsi="Times New Roman" w:cs="Times New Roman"/>
          <w:sz w:val="24"/>
          <w:szCs w:val="24"/>
        </w:rPr>
        <w:t>Политиката в областта на здравеопазването е насочена към осигуряването на адекватна готовност на здравн</w:t>
      </w:r>
      <w:r w:rsidR="00F827FD" w:rsidRPr="00E81A6E">
        <w:rPr>
          <w:rFonts w:ascii="Times New Roman" w:hAnsi="Times New Roman" w:cs="Times New Roman"/>
          <w:sz w:val="24"/>
          <w:szCs w:val="24"/>
          <w:lang w:val="bg-BG"/>
        </w:rPr>
        <w:t>ите заведения на подчинение на общината,</w:t>
      </w:r>
      <w:r w:rsidR="00F827FD" w:rsidRPr="00E81A6E">
        <w:rPr>
          <w:rFonts w:ascii="Times New Roman" w:hAnsi="Times New Roman" w:cs="Times New Roman"/>
          <w:sz w:val="24"/>
          <w:szCs w:val="24"/>
        </w:rPr>
        <w:t xml:space="preserve"> в условията на продължаваща епидемична обстановка, причинена от разпространението на COVID-19</w:t>
      </w:r>
      <w:r w:rsidR="00F827FD" w:rsidRPr="00E81A6E">
        <w:rPr>
          <w:rFonts w:ascii="Times New Roman" w:eastAsiaTheme="minorHAnsi" w:hAnsi="Times New Roman" w:cs="Times New Roman"/>
          <w:sz w:val="24"/>
          <w:szCs w:val="24"/>
          <w:lang w:eastAsia="en-US"/>
        </w:rPr>
        <w:t xml:space="preserve"> </w:t>
      </w:r>
      <w:r w:rsidR="00F827FD" w:rsidRPr="00E81A6E">
        <w:rPr>
          <w:rFonts w:ascii="Times New Roman" w:eastAsiaTheme="minorHAnsi" w:hAnsi="Times New Roman" w:cs="Times New Roman"/>
          <w:sz w:val="24"/>
          <w:szCs w:val="24"/>
          <w:lang w:val="bg-BG" w:eastAsia="en-US"/>
        </w:rPr>
        <w:t>да се</w:t>
      </w:r>
      <w:r w:rsidR="00F827FD" w:rsidRPr="00E81A6E">
        <w:rPr>
          <w:rFonts w:ascii="Times New Roman" w:hAnsi="Times New Roman" w:cs="Times New Roman"/>
          <w:sz w:val="24"/>
          <w:szCs w:val="24"/>
        </w:rPr>
        <w:t xml:space="preserve"> гарантира предоставянето необходимата медицинска грижа</w:t>
      </w:r>
      <w:r w:rsidR="00F827FD" w:rsidRPr="00E81A6E">
        <w:rPr>
          <w:rFonts w:ascii="Times New Roman" w:hAnsi="Times New Roman" w:cs="Times New Roman"/>
          <w:sz w:val="24"/>
          <w:szCs w:val="24"/>
          <w:lang w:val="bg-BG"/>
        </w:rPr>
        <w:t xml:space="preserve"> на населението.</w:t>
      </w:r>
      <w:r w:rsidR="00F827FD" w:rsidRPr="00E81A6E">
        <w:rPr>
          <w:rFonts w:ascii="Times New Roman" w:hAnsi="Times New Roman" w:cs="Times New Roman"/>
          <w:sz w:val="24"/>
          <w:szCs w:val="24"/>
        </w:rPr>
        <w:t xml:space="preserve"> </w:t>
      </w:r>
    </w:p>
    <w:p w14:paraId="10DAD0AB"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Заплатите</w:t>
      </w:r>
      <w:r w:rsidR="006943C6"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осигурителните вноски</w:t>
      </w:r>
      <w:r w:rsidR="006943C6" w:rsidRPr="00E81A6E">
        <w:rPr>
          <w:rFonts w:ascii="Times New Roman" w:hAnsi="Times New Roman" w:cs="Times New Roman"/>
          <w:sz w:val="24"/>
          <w:szCs w:val="24"/>
          <w:lang w:val="ru-RU"/>
        </w:rPr>
        <w:t xml:space="preserve"> и издръжка</w:t>
      </w:r>
      <w:r w:rsidRPr="00E81A6E">
        <w:rPr>
          <w:rFonts w:ascii="Times New Roman" w:hAnsi="Times New Roman" w:cs="Times New Roman"/>
          <w:sz w:val="24"/>
          <w:szCs w:val="24"/>
          <w:lang w:val="ru-RU"/>
        </w:rPr>
        <w:t xml:space="preserve"> на </w:t>
      </w:r>
      <w:r w:rsidR="005E5FCC" w:rsidRPr="00E81A6E">
        <w:rPr>
          <w:rFonts w:ascii="Times New Roman" w:hAnsi="Times New Roman" w:cs="Times New Roman"/>
          <w:sz w:val="24"/>
          <w:szCs w:val="24"/>
          <w:lang w:val="ru-RU"/>
        </w:rPr>
        <w:t xml:space="preserve">административен и помощен персонал в районите и </w:t>
      </w:r>
      <w:r w:rsidR="00CA4FA4" w:rsidRPr="00E81A6E">
        <w:rPr>
          <w:rFonts w:ascii="Times New Roman" w:hAnsi="Times New Roman" w:cs="Times New Roman"/>
          <w:sz w:val="24"/>
          <w:szCs w:val="24"/>
          <w:lang w:val="ru-RU"/>
        </w:rPr>
        <w:t>с</w:t>
      </w:r>
      <w:r w:rsidR="00B4299B" w:rsidRPr="00E81A6E">
        <w:rPr>
          <w:rFonts w:ascii="Times New Roman" w:hAnsi="Times New Roman" w:cs="Times New Roman"/>
          <w:sz w:val="24"/>
          <w:szCs w:val="24"/>
          <w:lang w:val="ru-RU"/>
        </w:rPr>
        <w:t>амостоятелни детски ясли</w:t>
      </w:r>
      <w:r w:rsidRPr="00E81A6E">
        <w:rPr>
          <w:rFonts w:ascii="Times New Roman" w:hAnsi="Times New Roman" w:cs="Times New Roman"/>
          <w:sz w:val="24"/>
          <w:szCs w:val="24"/>
          <w:lang w:val="ru-RU"/>
        </w:rPr>
        <w:t xml:space="preserve">, разчетени като </w:t>
      </w:r>
      <w:r w:rsidRPr="00E81A6E">
        <w:rPr>
          <w:rFonts w:ascii="Times New Roman" w:hAnsi="Times New Roman" w:cs="Times New Roman"/>
          <w:b/>
          <w:bCs/>
          <w:sz w:val="24"/>
          <w:szCs w:val="24"/>
          <w:lang w:val="ru-RU"/>
        </w:rPr>
        <w:t>дофинансиране</w:t>
      </w:r>
      <w:r w:rsidRPr="00E81A6E">
        <w:rPr>
          <w:rFonts w:ascii="Times New Roman" w:hAnsi="Times New Roman" w:cs="Times New Roman"/>
          <w:sz w:val="24"/>
          <w:szCs w:val="24"/>
          <w:lang w:val="ru-RU"/>
        </w:rPr>
        <w:t xml:space="preserve">, възлизат на </w:t>
      </w:r>
      <w:r w:rsidR="00296532" w:rsidRPr="00E81A6E">
        <w:rPr>
          <w:rFonts w:ascii="Times New Roman" w:hAnsi="Times New Roman" w:cs="Times New Roman"/>
          <w:sz w:val="24"/>
          <w:szCs w:val="24"/>
          <w:lang w:val="ru-RU"/>
        </w:rPr>
        <w:t>3</w:t>
      </w:r>
      <w:r w:rsidRPr="00E81A6E">
        <w:rPr>
          <w:rFonts w:ascii="Times New Roman" w:hAnsi="Times New Roman" w:cs="Times New Roman"/>
          <w:sz w:val="24"/>
          <w:szCs w:val="24"/>
          <w:lang w:val="bg-BG"/>
        </w:rPr>
        <w:t>,</w:t>
      </w:r>
      <w:r w:rsidR="00296532" w:rsidRPr="00E81A6E">
        <w:rPr>
          <w:rFonts w:ascii="Times New Roman" w:hAnsi="Times New Roman" w:cs="Times New Roman"/>
          <w:sz w:val="24"/>
          <w:szCs w:val="24"/>
          <w:lang w:val="bg-BG"/>
        </w:rPr>
        <w:t>258</w:t>
      </w:r>
      <w:r w:rsidRPr="00E81A6E">
        <w:rPr>
          <w:rFonts w:ascii="Times New Roman" w:hAnsi="Times New Roman" w:cs="Times New Roman"/>
          <w:sz w:val="24"/>
          <w:szCs w:val="24"/>
          <w:lang w:val="ru-RU"/>
        </w:rPr>
        <w:t>,</w:t>
      </w:r>
      <w:r w:rsidR="006943C6" w:rsidRPr="00E81A6E">
        <w:rPr>
          <w:rFonts w:ascii="Times New Roman" w:hAnsi="Times New Roman" w:cs="Times New Roman"/>
          <w:sz w:val="24"/>
          <w:szCs w:val="24"/>
          <w:lang w:val="ru-RU"/>
        </w:rPr>
        <w:t>9</w:t>
      </w:r>
      <w:r w:rsidR="00296532" w:rsidRPr="00E81A6E">
        <w:rPr>
          <w:rFonts w:ascii="Times New Roman" w:hAnsi="Times New Roman" w:cs="Times New Roman"/>
          <w:sz w:val="24"/>
          <w:szCs w:val="24"/>
          <w:lang w:val="ru-RU"/>
        </w:rPr>
        <w:t>39</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D765B5" w:rsidRPr="00E81A6E">
        <w:rPr>
          <w:rFonts w:ascii="Times New Roman" w:hAnsi="Times New Roman" w:cs="Times New Roman"/>
          <w:sz w:val="24"/>
          <w:szCs w:val="24"/>
          <w:lang w:val="ru-RU"/>
        </w:rPr>
        <w:t xml:space="preserve"> </w:t>
      </w:r>
    </w:p>
    <w:p w14:paraId="3583E253"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ru-RU"/>
        </w:rPr>
      </w:pPr>
    </w:p>
    <w:p w14:paraId="1F8E5874"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ru-RU"/>
        </w:rPr>
      </w:pPr>
      <w:bookmarkStart w:id="98" w:name="_Toc409874554"/>
      <w:bookmarkStart w:id="99" w:name="_Toc499639783"/>
      <w:bookmarkStart w:id="100" w:name="_Toc500496079"/>
      <w:bookmarkStart w:id="101" w:name="_Toc500496425"/>
      <w:bookmarkStart w:id="102" w:name="_Toc503629626"/>
      <w:bookmarkStart w:id="103" w:name="_Toc61971779"/>
      <w:r w:rsidRPr="00E81A6E">
        <w:rPr>
          <w:rFonts w:ascii="Times New Roman" w:hAnsi="Times New Roman" w:cs="Times New Roman"/>
          <w:color w:val="auto"/>
          <w:sz w:val="24"/>
          <w:szCs w:val="24"/>
          <w:lang w:val="ru-RU"/>
        </w:rPr>
        <w:t>Функция “Социално осигуряване, подпомагане и грижи “</w:t>
      </w:r>
      <w:bookmarkEnd w:id="98"/>
      <w:bookmarkEnd w:id="99"/>
      <w:bookmarkEnd w:id="100"/>
      <w:bookmarkEnd w:id="101"/>
      <w:r w:rsidRPr="00E81A6E">
        <w:rPr>
          <w:rFonts w:ascii="Times New Roman" w:hAnsi="Times New Roman" w:cs="Times New Roman"/>
          <w:color w:val="auto"/>
          <w:sz w:val="24"/>
          <w:szCs w:val="24"/>
          <w:lang w:val="bg-BG"/>
        </w:rPr>
        <w:t>- текущи разходи</w:t>
      </w:r>
      <w:bookmarkEnd w:id="102"/>
      <w:bookmarkEnd w:id="103"/>
    </w:p>
    <w:p w14:paraId="32E42CDD"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sz w:val="24"/>
          <w:szCs w:val="24"/>
          <w:lang w:val="ru-RU"/>
        </w:rPr>
        <w:t xml:space="preserve">Разчетените по бюджета разходи </w:t>
      </w:r>
      <w:r w:rsidR="002D682E" w:rsidRPr="00E81A6E">
        <w:rPr>
          <w:rFonts w:ascii="Times New Roman" w:hAnsi="Times New Roman" w:cs="Times New Roman"/>
          <w:sz w:val="24"/>
          <w:szCs w:val="24"/>
          <w:lang w:val="ru-RU"/>
        </w:rPr>
        <w:t xml:space="preserve">за </w:t>
      </w:r>
      <w:r w:rsidR="002D682E" w:rsidRPr="00E81A6E">
        <w:rPr>
          <w:rFonts w:ascii="Times New Roman" w:hAnsi="Times New Roman" w:cs="Times New Roman"/>
          <w:b/>
          <w:bCs/>
          <w:sz w:val="24"/>
          <w:szCs w:val="24"/>
          <w:lang w:val="ru-RU"/>
        </w:rPr>
        <w:t>делегирани държавни дейности</w:t>
      </w:r>
      <w:r w:rsidR="002D682E" w:rsidRPr="00E81A6E">
        <w:rPr>
          <w:rFonts w:ascii="Times New Roman" w:hAnsi="Times New Roman" w:cs="Times New Roman"/>
          <w:sz w:val="24"/>
          <w:szCs w:val="24"/>
          <w:lang w:val="ru-RU"/>
        </w:rPr>
        <w:t xml:space="preserve"> за функцията </w:t>
      </w:r>
      <w:r w:rsidRPr="00E81A6E">
        <w:rPr>
          <w:rFonts w:ascii="Times New Roman" w:hAnsi="Times New Roman" w:cs="Times New Roman"/>
          <w:sz w:val="24"/>
          <w:szCs w:val="24"/>
          <w:lang w:val="ru-RU"/>
        </w:rPr>
        <w:t xml:space="preserve">са в размер на </w:t>
      </w:r>
      <w:r w:rsidRPr="00E81A6E">
        <w:rPr>
          <w:rFonts w:ascii="Times New Roman" w:hAnsi="Times New Roman" w:cs="Times New Roman"/>
          <w:b/>
          <w:bCs/>
          <w:sz w:val="24"/>
          <w:szCs w:val="24"/>
          <w:lang w:val="ru-RU"/>
        </w:rPr>
        <w:t>4</w:t>
      </w:r>
      <w:r w:rsidR="00AC55D6" w:rsidRPr="00E81A6E">
        <w:rPr>
          <w:rFonts w:ascii="Times New Roman" w:hAnsi="Times New Roman" w:cs="Times New Roman"/>
          <w:b/>
          <w:bCs/>
          <w:sz w:val="24"/>
          <w:szCs w:val="24"/>
          <w:lang w:val="ru-RU"/>
        </w:rPr>
        <w:t>3</w:t>
      </w:r>
      <w:r w:rsidRPr="00E81A6E">
        <w:rPr>
          <w:rFonts w:ascii="Times New Roman" w:hAnsi="Times New Roman" w:cs="Times New Roman"/>
          <w:b/>
          <w:bCs/>
          <w:sz w:val="24"/>
          <w:szCs w:val="24"/>
          <w:lang w:val="ru-RU"/>
        </w:rPr>
        <w:t>,</w:t>
      </w:r>
      <w:r w:rsidR="00AC55D6" w:rsidRPr="00E81A6E">
        <w:rPr>
          <w:rFonts w:ascii="Times New Roman" w:hAnsi="Times New Roman" w:cs="Times New Roman"/>
          <w:b/>
          <w:bCs/>
          <w:sz w:val="24"/>
          <w:szCs w:val="24"/>
          <w:lang w:val="ru-RU"/>
        </w:rPr>
        <w:t>887</w:t>
      </w:r>
      <w:r w:rsidRPr="00E81A6E">
        <w:rPr>
          <w:rFonts w:ascii="Times New Roman" w:hAnsi="Times New Roman" w:cs="Times New Roman"/>
          <w:b/>
          <w:bCs/>
          <w:sz w:val="24"/>
          <w:szCs w:val="24"/>
          <w:lang w:val="ru-RU"/>
        </w:rPr>
        <w:t>,</w:t>
      </w:r>
      <w:r w:rsidR="00AC55D6" w:rsidRPr="00E81A6E">
        <w:rPr>
          <w:rFonts w:ascii="Times New Roman" w:hAnsi="Times New Roman" w:cs="Times New Roman"/>
          <w:b/>
          <w:bCs/>
          <w:sz w:val="24"/>
          <w:szCs w:val="24"/>
          <w:lang w:val="ru-RU"/>
        </w:rPr>
        <w:t>055</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00B26384" w:rsidRPr="00E81A6E">
        <w:rPr>
          <w:rFonts w:ascii="Times New Roman" w:hAnsi="Times New Roman" w:cs="Times New Roman"/>
          <w:b/>
          <w:bCs/>
          <w:sz w:val="24"/>
          <w:szCs w:val="24"/>
          <w:lang w:val="ru-RU"/>
        </w:rPr>
        <w:t xml:space="preserve"> </w:t>
      </w:r>
      <w:r w:rsidR="007F118A" w:rsidRPr="00E81A6E">
        <w:rPr>
          <w:rFonts w:ascii="Times New Roman" w:hAnsi="Times New Roman" w:cs="Times New Roman"/>
          <w:bCs/>
          <w:sz w:val="24"/>
          <w:szCs w:val="24"/>
          <w:lang w:val="bg-BG"/>
        </w:rPr>
        <w:t>В</w:t>
      </w:r>
      <w:r w:rsidR="007F118A"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ru-RU"/>
        </w:rPr>
        <w:t>това число предоставени с</w:t>
      </w:r>
      <w:r w:rsidRPr="00E81A6E">
        <w:rPr>
          <w:rFonts w:ascii="Times New Roman" w:hAnsi="Times New Roman" w:cs="Times New Roman"/>
          <w:sz w:val="24"/>
          <w:szCs w:val="24"/>
          <w:lang w:val="bg-BG"/>
        </w:rPr>
        <w:t>ъс</w:t>
      </w:r>
      <w:r w:rsidRPr="00E81A6E">
        <w:rPr>
          <w:rFonts w:ascii="Times New Roman" w:hAnsi="Times New Roman" w:cs="Times New Roman"/>
          <w:sz w:val="24"/>
          <w:szCs w:val="24"/>
          <w:lang w:val="ru-RU"/>
        </w:rPr>
        <w:t xml:space="preserve"> ЗДБРБ за 20</w:t>
      </w:r>
      <w:r w:rsidR="004F40D8" w:rsidRPr="00E81A6E">
        <w:rPr>
          <w:rFonts w:ascii="Times New Roman" w:hAnsi="Times New Roman" w:cs="Times New Roman"/>
          <w:sz w:val="24"/>
          <w:szCs w:val="24"/>
          <w:lang w:val="ru-RU"/>
        </w:rPr>
        <w:t>2</w:t>
      </w:r>
      <w:r w:rsidR="00D3372A"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г. като държавен трансфер за функцията са </w:t>
      </w:r>
      <w:r w:rsidR="002D682E" w:rsidRPr="00E81A6E">
        <w:rPr>
          <w:rFonts w:ascii="Times New Roman" w:hAnsi="Times New Roman" w:cs="Times New Roman"/>
          <w:sz w:val="24"/>
          <w:szCs w:val="24"/>
          <w:lang w:val="ru-RU"/>
        </w:rPr>
        <w:t>41</w:t>
      </w:r>
      <w:r w:rsidRPr="00E81A6E">
        <w:rPr>
          <w:rFonts w:ascii="Times New Roman" w:hAnsi="Times New Roman" w:cs="Times New Roman"/>
          <w:sz w:val="24"/>
          <w:szCs w:val="24"/>
          <w:lang w:val="ru-RU"/>
        </w:rPr>
        <w:t>,</w:t>
      </w:r>
      <w:r w:rsidR="002D682E" w:rsidRPr="00E81A6E">
        <w:rPr>
          <w:rFonts w:ascii="Times New Roman" w:hAnsi="Times New Roman" w:cs="Times New Roman"/>
          <w:sz w:val="24"/>
          <w:szCs w:val="24"/>
          <w:lang w:val="ru-RU"/>
        </w:rPr>
        <w:t>508</w:t>
      </w:r>
      <w:r w:rsidRPr="00E81A6E">
        <w:rPr>
          <w:rFonts w:ascii="Times New Roman" w:hAnsi="Times New Roman" w:cs="Times New Roman"/>
          <w:sz w:val="24"/>
          <w:szCs w:val="24"/>
          <w:lang w:val="ru-RU"/>
        </w:rPr>
        <w:t>,</w:t>
      </w:r>
      <w:r w:rsidR="002D682E" w:rsidRPr="00E81A6E">
        <w:rPr>
          <w:rFonts w:ascii="Times New Roman" w:hAnsi="Times New Roman" w:cs="Times New Roman"/>
          <w:sz w:val="24"/>
          <w:szCs w:val="24"/>
          <w:lang w:val="ru-RU"/>
        </w:rPr>
        <w:t>763</w:t>
      </w:r>
      <w:r w:rsidR="008E5645" w:rsidRPr="00E81A6E">
        <w:rPr>
          <w:rFonts w:ascii="Times New Roman" w:hAnsi="Times New Roman" w:cs="Times New Roman"/>
          <w:sz w:val="24"/>
          <w:szCs w:val="24"/>
          <w:lang w:val="ru-RU"/>
        </w:rPr>
        <w:t xml:space="preserve"> лв.</w:t>
      </w:r>
      <w:r w:rsidRPr="00E81A6E">
        <w:rPr>
          <w:rFonts w:ascii="Times New Roman" w:hAnsi="Times New Roman" w:cs="Times New Roman"/>
          <w:sz w:val="24"/>
          <w:szCs w:val="24"/>
          <w:lang w:val="ru-RU"/>
        </w:rPr>
        <w:t xml:space="preserve"> Средствата са увеличени спрямо предоставените със ЗДБРБ за 20</w:t>
      </w:r>
      <w:r w:rsidR="002D682E"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с </w:t>
      </w:r>
      <w:r w:rsidR="002D682E" w:rsidRPr="00E81A6E">
        <w:rPr>
          <w:rFonts w:ascii="Times New Roman" w:hAnsi="Times New Roman" w:cs="Times New Roman"/>
          <w:sz w:val="24"/>
          <w:szCs w:val="24"/>
          <w:lang w:val="ru-RU"/>
        </w:rPr>
        <w:t>16,767</w:t>
      </w:r>
      <w:r w:rsidRPr="00E81A6E">
        <w:rPr>
          <w:rFonts w:ascii="Times New Roman" w:hAnsi="Times New Roman" w:cs="Times New Roman"/>
          <w:sz w:val="24"/>
          <w:szCs w:val="24"/>
          <w:lang w:val="ru-RU"/>
        </w:rPr>
        <w:t>,</w:t>
      </w:r>
      <w:r w:rsidR="002D682E" w:rsidRPr="00E81A6E">
        <w:rPr>
          <w:rFonts w:ascii="Times New Roman" w:hAnsi="Times New Roman" w:cs="Times New Roman"/>
          <w:sz w:val="24"/>
          <w:szCs w:val="24"/>
          <w:lang w:val="ru-RU"/>
        </w:rPr>
        <w:t>792</w:t>
      </w:r>
      <w:r w:rsidR="008E5645" w:rsidRPr="00E81A6E">
        <w:rPr>
          <w:rFonts w:ascii="Times New Roman" w:hAnsi="Times New Roman" w:cs="Times New Roman"/>
          <w:sz w:val="24"/>
          <w:szCs w:val="24"/>
          <w:lang w:val="ru-RU"/>
        </w:rPr>
        <w:t xml:space="preserve"> лв.</w:t>
      </w:r>
      <w:r w:rsidRPr="00E81A6E">
        <w:rPr>
          <w:rFonts w:ascii="Times New Roman" w:hAnsi="Times New Roman" w:cs="Times New Roman"/>
          <w:sz w:val="24"/>
          <w:szCs w:val="24"/>
          <w:lang w:val="ru-RU"/>
        </w:rPr>
        <w:t xml:space="preserve"> Като преходен остатък са преминали от 20</w:t>
      </w:r>
      <w:r w:rsidR="002D682E"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w:t>
      </w:r>
      <w:r w:rsidR="00D10387"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D10387" w:rsidRPr="00E81A6E">
        <w:rPr>
          <w:rFonts w:ascii="Times New Roman" w:hAnsi="Times New Roman" w:cs="Times New Roman"/>
          <w:sz w:val="24"/>
          <w:szCs w:val="24"/>
          <w:lang w:val="ru-RU"/>
        </w:rPr>
        <w:t>444</w:t>
      </w:r>
      <w:r w:rsidRPr="00E81A6E">
        <w:rPr>
          <w:rFonts w:ascii="Times New Roman" w:hAnsi="Times New Roman" w:cs="Times New Roman"/>
          <w:sz w:val="24"/>
          <w:szCs w:val="24"/>
          <w:lang w:val="ru-RU"/>
        </w:rPr>
        <w:t>,</w:t>
      </w:r>
      <w:r w:rsidR="00D10387" w:rsidRPr="00E81A6E">
        <w:rPr>
          <w:rFonts w:ascii="Times New Roman" w:hAnsi="Times New Roman" w:cs="Times New Roman"/>
          <w:sz w:val="24"/>
          <w:szCs w:val="24"/>
          <w:lang w:val="ru-RU"/>
        </w:rPr>
        <w:t>382</w:t>
      </w:r>
      <w:r w:rsidR="008E5645" w:rsidRPr="00E81A6E">
        <w:rPr>
          <w:rFonts w:ascii="Times New Roman" w:hAnsi="Times New Roman" w:cs="Times New Roman"/>
          <w:sz w:val="24"/>
          <w:szCs w:val="24"/>
          <w:lang w:val="ru-RU"/>
        </w:rPr>
        <w:t xml:space="preserve"> лв.</w:t>
      </w:r>
      <w:r w:rsidR="002D682E" w:rsidRPr="00E81A6E">
        <w:rPr>
          <w:rFonts w:ascii="Times New Roman" w:hAnsi="Times New Roman" w:cs="Times New Roman"/>
          <w:sz w:val="24"/>
          <w:szCs w:val="24"/>
          <w:lang w:val="ru-RU"/>
        </w:rPr>
        <w:t>, от тях</w:t>
      </w:r>
      <w:r w:rsidRPr="00E81A6E">
        <w:rPr>
          <w:rFonts w:ascii="Times New Roman" w:hAnsi="Times New Roman" w:cs="Times New Roman"/>
          <w:sz w:val="24"/>
          <w:szCs w:val="24"/>
          <w:lang w:val="ru-RU"/>
        </w:rPr>
        <w:t xml:space="preserve"> </w:t>
      </w:r>
      <w:r w:rsidR="002D682E" w:rsidRPr="00E81A6E">
        <w:rPr>
          <w:rFonts w:ascii="Times New Roman" w:hAnsi="Times New Roman" w:cs="Times New Roman"/>
          <w:sz w:val="24"/>
          <w:szCs w:val="24"/>
          <w:lang w:val="ru-RU"/>
        </w:rPr>
        <w:t xml:space="preserve">за текуща издръжка </w:t>
      </w:r>
      <w:r w:rsidR="00D10387" w:rsidRPr="00E81A6E">
        <w:rPr>
          <w:rFonts w:ascii="Times New Roman" w:hAnsi="Times New Roman" w:cs="Times New Roman"/>
          <w:sz w:val="24"/>
          <w:szCs w:val="24"/>
          <w:lang w:val="ru-RU"/>
        </w:rPr>
        <w:t>2,378,292лв.</w:t>
      </w:r>
      <w:r w:rsidR="002D682E" w:rsidRPr="00E81A6E">
        <w:rPr>
          <w:rFonts w:ascii="Times New Roman" w:hAnsi="Times New Roman" w:cs="Times New Roman"/>
          <w:sz w:val="24"/>
          <w:szCs w:val="24"/>
          <w:lang w:val="ru-RU"/>
        </w:rPr>
        <w:t xml:space="preserve"> и за капиталови разходи 4,066,090лв. </w:t>
      </w:r>
      <w:r w:rsidRPr="00E81A6E">
        <w:rPr>
          <w:rFonts w:ascii="Times New Roman" w:hAnsi="Times New Roman" w:cs="Times New Roman"/>
          <w:sz w:val="24"/>
          <w:szCs w:val="24"/>
        </w:rPr>
        <w:t xml:space="preserve">Разпределението </w:t>
      </w:r>
      <w:r w:rsidR="007F118A" w:rsidRPr="00E81A6E">
        <w:rPr>
          <w:rFonts w:ascii="Times New Roman" w:hAnsi="Times New Roman" w:cs="Times New Roman"/>
          <w:sz w:val="24"/>
          <w:szCs w:val="24"/>
          <w:lang w:val="bg-BG"/>
        </w:rPr>
        <w:t xml:space="preserve">за държавните дейности </w:t>
      </w:r>
      <w:r w:rsidRPr="00E81A6E">
        <w:rPr>
          <w:rFonts w:ascii="Times New Roman" w:hAnsi="Times New Roman" w:cs="Times New Roman"/>
          <w:sz w:val="24"/>
          <w:szCs w:val="24"/>
        </w:rPr>
        <w:t>е, както следва:</w:t>
      </w:r>
    </w:p>
    <w:p w14:paraId="7699E223" w14:textId="77777777" w:rsidR="006F5B92" w:rsidRPr="00E81A6E" w:rsidRDefault="006F5B92" w:rsidP="00350B12">
      <w:pPr>
        <w:pStyle w:val="ListParagraph"/>
        <w:numPr>
          <w:ilvl w:val="0"/>
          <w:numId w:val="25"/>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за заплати</w:t>
      </w:r>
      <w:r w:rsidR="00B26384" w:rsidRPr="00E81A6E">
        <w:rPr>
          <w:rFonts w:ascii="Times New Roman" w:hAnsi="Times New Roman" w:cs="Times New Roman"/>
          <w:i/>
          <w:iCs/>
          <w:sz w:val="24"/>
          <w:szCs w:val="24"/>
        </w:rPr>
        <w:t xml:space="preserve"> </w:t>
      </w:r>
      <w:r w:rsidR="00D10387" w:rsidRPr="00E81A6E">
        <w:rPr>
          <w:rFonts w:ascii="Times New Roman" w:hAnsi="Times New Roman" w:cs="Times New Roman"/>
          <w:i/>
          <w:iCs/>
          <w:sz w:val="24"/>
          <w:szCs w:val="24"/>
          <w:lang w:val="bg-BG"/>
        </w:rPr>
        <w:t>10</w:t>
      </w:r>
      <w:r w:rsidRPr="00E81A6E">
        <w:rPr>
          <w:rFonts w:ascii="Times New Roman" w:hAnsi="Times New Roman" w:cs="Times New Roman"/>
          <w:i/>
          <w:iCs/>
          <w:sz w:val="24"/>
          <w:szCs w:val="24"/>
        </w:rPr>
        <w:t>,</w:t>
      </w:r>
      <w:r w:rsidR="00D10387" w:rsidRPr="00E81A6E">
        <w:rPr>
          <w:rFonts w:ascii="Times New Roman" w:hAnsi="Times New Roman" w:cs="Times New Roman"/>
          <w:i/>
          <w:iCs/>
          <w:sz w:val="24"/>
          <w:szCs w:val="24"/>
          <w:lang w:val="bg-BG"/>
        </w:rPr>
        <w:t>127</w:t>
      </w:r>
      <w:r w:rsidRPr="00E81A6E">
        <w:rPr>
          <w:rFonts w:ascii="Times New Roman" w:hAnsi="Times New Roman" w:cs="Times New Roman"/>
          <w:i/>
          <w:iCs/>
          <w:sz w:val="24"/>
          <w:szCs w:val="24"/>
        </w:rPr>
        <w:t>,</w:t>
      </w:r>
      <w:r w:rsidR="00D10387" w:rsidRPr="00E81A6E">
        <w:rPr>
          <w:rFonts w:ascii="Times New Roman" w:hAnsi="Times New Roman" w:cs="Times New Roman"/>
          <w:i/>
          <w:iCs/>
          <w:sz w:val="24"/>
          <w:szCs w:val="24"/>
          <w:lang w:val="bg-BG"/>
        </w:rPr>
        <w:t>562</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r w:rsidRPr="00E81A6E">
        <w:rPr>
          <w:rFonts w:ascii="Times New Roman" w:hAnsi="Times New Roman" w:cs="Times New Roman"/>
          <w:i/>
          <w:iCs/>
          <w:sz w:val="24"/>
          <w:szCs w:val="24"/>
          <w:lang w:val="bg-BG"/>
        </w:rPr>
        <w:t>;</w:t>
      </w:r>
    </w:p>
    <w:p w14:paraId="08856057" w14:textId="77777777" w:rsidR="006F5B92" w:rsidRPr="00E81A6E" w:rsidRDefault="006F5B92" w:rsidP="00350B12">
      <w:pPr>
        <w:pStyle w:val="ListParagraph"/>
        <w:numPr>
          <w:ilvl w:val="0"/>
          <w:numId w:val="25"/>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за осигурителни вноски</w:t>
      </w:r>
      <w:r w:rsidR="00B26384" w:rsidRPr="00E81A6E">
        <w:rPr>
          <w:rFonts w:ascii="Times New Roman" w:hAnsi="Times New Roman" w:cs="Times New Roman"/>
          <w:i/>
          <w:iCs/>
          <w:sz w:val="24"/>
          <w:szCs w:val="24"/>
        </w:rPr>
        <w:t xml:space="preserve"> </w:t>
      </w:r>
      <w:r w:rsidRPr="00E81A6E">
        <w:rPr>
          <w:rFonts w:ascii="Times New Roman" w:hAnsi="Times New Roman" w:cs="Times New Roman"/>
          <w:i/>
          <w:iCs/>
          <w:sz w:val="24"/>
          <w:szCs w:val="24"/>
          <w:lang w:val="bg-BG"/>
        </w:rPr>
        <w:t>1,</w:t>
      </w:r>
      <w:r w:rsidR="00D10387" w:rsidRPr="00E81A6E">
        <w:rPr>
          <w:rFonts w:ascii="Times New Roman" w:hAnsi="Times New Roman" w:cs="Times New Roman"/>
          <w:i/>
          <w:iCs/>
          <w:sz w:val="24"/>
          <w:szCs w:val="24"/>
          <w:lang w:val="bg-BG"/>
        </w:rPr>
        <w:t>954</w:t>
      </w:r>
      <w:r w:rsidRPr="00E81A6E">
        <w:rPr>
          <w:rFonts w:ascii="Times New Roman" w:hAnsi="Times New Roman" w:cs="Times New Roman"/>
          <w:i/>
          <w:iCs/>
          <w:sz w:val="24"/>
          <w:szCs w:val="24"/>
          <w:lang w:val="bg-BG"/>
        </w:rPr>
        <w:t>,</w:t>
      </w:r>
      <w:r w:rsidR="00D10387" w:rsidRPr="00E81A6E">
        <w:rPr>
          <w:rFonts w:ascii="Times New Roman" w:hAnsi="Times New Roman" w:cs="Times New Roman"/>
          <w:i/>
          <w:iCs/>
          <w:sz w:val="24"/>
          <w:szCs w:val="24"/>
          <w:lang w:val="bg-BG"/>
        </w:rPr>
        <w:t>617</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r w:rsidRPr="00E81A6E">
        <w:rPr>
          <w:rFonts w:ascii="Times New Roman" w:hAnsi="Times New Roman" w:cs="Times New Roman"/>
          <w:i/>
          <w:iCs/>
          <w:sz w:val="24"/>
          <w:szCs w:val="24"/>
          <w:lang w:val="bg-BG"/>
        </w:rPr>
        <w:t>;</w:t>
      </w:r>
    </w:p>
    <w:p w14:paraId="7FCD9463" w14:textId="77777777" w:rsidR="006F5B92" w:rsidRPr="00E81A6E" w:rsidRDefault="006F5B92" w:rsidP="00350B12">
      <w:pPr>
        <w:pStyle w:val="ListParagraph"/>
        <w:numPr>
          <w:ilvl w:val="0"/>
          <w:numId w:val="25"/>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lastRenderedPageBreak/>
        <w:t>за издръжка</w:t>
      </w:r>
      <w:r w:rsidR="00B26384" w:rsidRPr="00E81A6E">
        <w:rPr>
          <w:rFonts w:ascii="Times New Roman" w:hAnsi="Times New Roman" w:cs="Times New Roman"/>
          <w:i/>
          <w:iCs/>
          <w:sz w:val="24"/>
          <w:szCs w:val="24"/>
        </w:rPr>
        <w:t xml:space="preserve"> </w:t>
      </w:r>
      <w:r w:rsidR="00D10387" w:rsidRPr="00E81A6E">
        <w:rPr>
          <w:rFonts w:ascii="Times New Roman" w:hAnsi="Times New Roman" w:cs="Times New Roman"/>
          <w:i/>
          <w:iCs/>
          <w:sz w:val="24"/>
          <w:szCs w:val="24"/>
          <w:lang w:val="bg-BG"/>
        </w:rPr>
        <w:t>31</w:t>
      </w:r>
      <w:r w:rsidRPr="00E81A6E">
        <w:rPr>
          <w:rFonts w:ascii="Times New Roman" w:hAnsi="Times New Roman" w:cs="Times New Roman"/>
          <w:i/>
          <w:iCs/>
          <w:sz w:val="24"/>
          <w:szCs w:val="24"/>
          <w:lang w:val="bg-BG"/>
        </w:rPr>
        <w:t>,</w:t>
      </w:r>
      <w:r w:rsidR="00D10387" w:rsidRPr="00E81A6E">
        <w:rPr>
          <w:rFonts w:ascii="Times New Roman" w:hAnsi="Times New Roman" w:cs="Times New Roman"/>
          <w:i/>
          <w:iCs/>
          <w:sz w:val="24"/>
          <w:szCs w:val="24"/>
          <w:lang w:val="bg-BG"/>
        </w:rPr>
        <w:t>804</w:t>
      </w:r>
      <w:r w:rsidRPr="00E81A6E">
        <w:rPr>
          <w:rFonts w:ascii="Times New Roman" w:hAnsi="Times New Roman" w:cs="Times New Roman"/>
          <w:i/>
          <w:iCs/>
          <w:sz w:val="24"/>
          <w:szCs w:val="24"/>
        </w:rPr>
        <w:t>,</w:t>
      </w:r>
      <w:r w:rsidR="00D10387" w:rsidRPr="00E81A6E">
        <w:rPr>
          <w:rFonts w:ascii="Times New Roman" w:hAnsi="Times New Roman" w:cs="Times New Roman"/>
          <w:i/>
          <w:iCs/>
          <w:sz w:val="24"/>
          <w:szCs w:val="24"/>
          <w:lang w:val="bg-BG"/>
        </w:rPr>
        <w:t>876</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r w:rsidR="00D10387" w:rsidRPr="00E81A6E">
        <w:rPr>
          <w:rFonts w:ascii="Times New Roman" w:hAnsi="Times New Roman" w:cs="Times New Roman"/>
          <w:i/>
          <w:iCs/>
          <w:sz w:val="24"/>
          <w:szCs w:val="24"/>
          <w:lang w:val="bg-BG"/>
        </w:rPr>
        <w:t xml:space="preserve">, в т.ч. за новоразкрита дейност за асистентска подкрепа, финансирана от държавата </w:t>
      </w:r>
      <w:r w:rsidR="00D335C7" w:rsidRPr="00E81A6E">
        <w:rPr>
          <w:rFonts w:ascii="Times New Roman" w:hAnsi="Times New Roman" w:cs="Times New Roman"/>
          <w:i/>
          <w:iCs/>
          <w:sz w:val="24"/>
          <w:szCs w:val="24"/>
          <w:lang w:val="bg-BG"/>
        </w:rPr>
        <w:t>12,114,400 лв.</w:t>
      </w:r>
    </w:p>
    <w:p w14:paraId="0CC28F4E" w14:textId="77777777" w:rsidR="004C6311" w:rsidRPr="00E81A6E" w:rsidRDefault="004C6311"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rPr>
        <w:t xml:space="preserve">Приоритетите в социалната политика са насочени основно към преодоляване на социално-икономическите последици от пандемията от COVID-19, свързани </w:t>
      </w:r>
      <w:r w:rsidR="007C2F41" w:rsidRPr="00E81A6E">
        <w:rPr>
          <w:rFonts w:ascii="Times New Roman" w:hAnsi="Times New Roman" w:cs="Times New Roman"/>
          <w:sz w:val="24"/>
          <w:szCs w:val="24"/>
          <w:lang w:val="bg-BG"/>
        </w:rPr>
        <w:t xml:space="preserve">с </w:t>
      </w:r>
      <w:r w:rsidRPr="00E81A6E">
        <w:rPr>
          <w:rFonts w:ascii="Times New Roman" w:hAnsi="Times New Roman" w:cs="Times New Roman"/>
          <w:sz w:val="24"/>
          <w:szCs w:val="24"/>
        </w:rPr>
        <w:t>подобряване на адекватността и устойчивостта на системите за социална закрила и социално включване с фокус към най-уязвимите групи в обществото. В Бюджет 2021 са осигурени допълнителни средства</w:t>
      </w:r>
      <w:r w:rsidR="007C2F41"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rPr>
        <w:t xml:space="preserve">за социална услуга „Асистентска подкрепа“, като </w:t>
      </w:r>
      <w:r w:rsidR="00BF42A3" w:rsidRPr="00E81A6E">
        <w:rPr>
          <w:rFonts w:ascii="Times New Roman" w:hAnsi="Times New Roman" w:cs="Times New Roman"/>
          <w:sz w:val="24"/>
          <w:szCs w:val="24"/>
        </w:rPr>
        <w:t>делегирана от държавата дейност.</w:t>
      </w:r>
    </w:p>
    <w:p w14:paraId="1F006833"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rPr>
      </w:pPr>
    </w:p>
    <w:p w14:paraId="6DAA1D3A" w14:textId="77777777" w:rsidR="00D3372A" w:rsidRPr="00E81A6E" w:rsidRDefault="00D3372A" w:rsidP="00F55B06">
      <w:pPr>
        <w:spacing w:after="0" w:line="240" w:lineRule="auto"/>
        <w:ind w:firstLine="720"/>
        <w:contextualSpacing/>
        <w:jc w:val="both"/>
        <w:rPr>
          <w:rFonts w:ascii="Times New Roman" w:hAnsi="Times New Roman" w:cs="Times New Roman"/>
          <w:iCs/>
          <w:sz w:val="24"/>
          <w:szCs w:val="24"/>
          <w:lang w:val="bg-BG"/>
        </w:rPr>
      </w:pPr>
      <w:r w:rsidRPr="00E81A6E">
        <w:rPr>
          <w:rFonts w:ascii="Times New Roman" w:hAnsi="Times New Roman" w:cs="Times New Roman"/>
          <w:iCs/>
          <w:sz w:val="24"/>
          <w:szCs w:val="24"/>
          <w:lang w:val="bg-BG"/>
        </w:rPr>
        <w:t>Средства от държавния бюджет във функцията се отпускат за:</w:t>
      </w:r>
    </w:p>
    <w:p w14:paraId="32303CD2" w14:textId="77777777" w:rsidR="00D3372A" w:rsidRPr="00E81A6E" w:rsidRDefault="00D3372A" w:rsidP="00F55B06">
      <w:pPr>
        <w:spacing w:after="0" w:line="240" w:lineRule="auto"/>
        <w:ind w:firstLine="720"/>
        <w:contextualSpacing/>
        <w:jc w:val="both"/>
        <w:rPr>
          <w:rFonts w:ascii="Times New Roman" w:hAnsi="Times New Roman" w:cs="Times New Roman"/>
          <w:b/>
          <w:bCs/>
          <w:sz w:val="24"/>
          <w:szCs w:val="24"/>
          <w:lang w:val="bg-BG" w:eastAsia="bg-BG"/>
        </w:rPr>
      </w:pPr>
      <w:r w:rsidRPr="00E81A6E">
        <w:rPr>
          <w:rFonts w:ascii="Times New Roman" w:hAnsi="Times New Roman" w:cs="Times New Roman"/>
          <w:b/>
          <w:bCs/>
          <w:sz w:val="24"/>
          <w:szCs w:val="24"/>
          <w:lang w:val="bg-BG" w:eastAsia="bg-BG"/>
        </w:rPr>
        <w:t>Специализирани институции за предоставяне на социални услуги</w:t>
      </w:r>
      <w:r w:rsidR="00237F85" w:rsidRPr="00E81A6E">
        <w:rPr>
          <w:rFonts w:ascii="Times New Roman" w:hAnsi="Times New Roman" w:cs="Times New Roman"/>
          <w:b/>
          <w:bCs/>
          <w:sz w:val="24"/>
          <w:szCs w:val="24"/>
          <w:lang w:val="bg-BG" w:eastAsia="bg-BG"/>
        </w:rPr>
        <w:t>:</w:t>
      </w:r>
    </w:p>
    <w:p w14:paraId="7F9A1CC7" w14:textId="77777777" w:rsidR="00D3372A" w:rsidRPr="00E81A6E" w:rsidRDefault="00D3372A" w:rsidP="00350B12">
      <w:pPr>
        <w:pStyle w:val="ListParagraph"/>
        <w:numPr>
          <w:ilvl w:val="0"/>
          <w:numId w:val="26"/>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Домове за пълнолетни лица с увреждания;</w:t>
      </w:r>
    </w:p>
    <w:p w14:paraId="564EEBFD" w14:textId="77777777" w:rsidR="00D3372A" w:rsidRPr="00E81A6E" w:rsidRDefault="00D3372A" w:rsidP="00350B12">
      <w:pPr>
        <w:pStyle w:val="ListParagraph"/>
        <w:numPr>
          <w:ilvl w:val="0"/>
          <w:numId w:val="26"/>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Домове за стари хора;</w:t>
      </w:r>
    </w:p>
    <w:p w14:paraId="2CC01FC1" w14:textId="77777777" w:rsidR="00D3372A" w:rsidRPr="00E81A6E" w:rsidRDefault="00D3372A" w:rsidP="00F55B06">
      <w:pPr>
        <w:spacing w:after="0" w:line="240" w:lineRule="auto"/>
        <w:ind w:firstLine="720"/>
        <w:contextualSpacing/>
        <w:jc w:val="both"/>
        <w:rPr>
          <w:rFonts w:ascii="Times New Roman" w:hAnsi="Times New Roman" w:cs="Times New Roman"/>
          <w:b/>
          <w:bCs/>
          <w:sz w:val="24"/>
          <w:szCs w:val="24"/>
          <w:lang w:val="bg-BG" w:eastAsia="bg-BG"/>
        </w:rPr>
      </w:pPr>
      <w:r w:rsidRPr="00E81A6E">
        <w:rPr>
          <w:rFonts w:ascii="Times New Roman" w:hAnsi="Times New Roman" w:cs="Times New Roman"/>
          <w:b/>
          <w:bCs/>
          <w:sz w:val="24"/>
          <w:szCs w:val="24"/>
          <w:lang w:val="bg-BG" w:eastAsia="bg-BG"/>
        </w:rPr>
        <w:t>Социални услуги, предоставяни в общността</w:t>
      </w:r>
      <w:r w:rsidR="00237F85" w:rsidRPr="00E81A6E">
        <w:rPr>
          <w:rFonts w:ascii="Times New Roman" w:hAnsi="Times New Roman" w:cs="Times New Roman"/>
          <w:b/>
          <w:bCs/>
          <w:sz w:val="24"/>
          <w:szCs w:val="24"/>
          <w:lang w:val="bg-BG" w:eastAsia="bg-BG"/>
        </w:rPr>
        <w:t>:</w:t>
      </w:r>
    </w:p>
    <w:p w14:paraId="618EF698"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Дневни центрове за деца и/или пълнолетни лица с увреждания;</w:t>
      </w:r>
    </w:p>
    <w:p w14:paraId="449709FF"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Дневни центрове за стари хора;</w:t>
      </w:r>
    </w:p>
    <w:p w14:paraId="7167613D"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социална рехабилитация и интеграция;</w:t>
      </w:r>
    </w:p>
    <w:p w14:paraId="260A46B1"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временно настаняване;</w:t>
      </w:r>
    </w:p>
    <w:p w14:paraId="7346AC92"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обществена подкрепа;</w:t>
      </w:r>
    </w:p>
    <w:p w14:paraId="795746AF"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Защитени жилища;</w:t>
      </w:r>
    </w:p>
    <w:p w14:paraId="243FAC46" w14:textId="77777777" w:rsidR="00D3372A" w:rsidRPr="00E81A6E" w:rsidRDefault="00D3372A" w:rsidP="00350B12">
      <w:pPr>
        <w:pStyle w:val="ListParagraph"/>
        <w:numPr>
          <w:ilvl w:val="0"/>
          <w:numId w:val="27"/>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Звена „Майка и бебе“;</w:t>
      </w:r>
    </w:p>
    <w:p w14:paraId="39C0C748" w14:textId="77777777" w:rsidR="00D3372A" w:rsidRPr="00E81A6E" w:rsidRDefault="00D3372A"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работа с деца на улицата;</w:t>
      </w:r>
    </w:p>
    <w:p w14:paraId="33A9E46E" w14:textId="77777777" w:rsidR="00D3372A" w:rsidRPr="00E81A6E" w:rsidRDefault="00D3372A"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Кризисни центрове;</w:t>
      </w:r>
    </w:p>
    <w:p w14:paraId="17AD308C" w14:textId="77777777" w:rsidR="00D3372A" w:rsidRPr="00E81A6E" w:rsidRDefault="00D3372A"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Центрове за настаняване от семеен тип;</w:t>
      </w:r>
    </w:p>
    <w:p w14:paraId="6A2C2381" w14:textId="77777777" w:rsidR="00D3372A" w:rsidRPr="00E81A6E" w:rsidRDefault="00D3372A"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Наблюдавани жилища;</w:t>
      </w:r>
    </w:p>
    <w:p w14:paraId="3A5AF1FE" w14:textId="77777777" w:rsidR="00D3372A" w:rsidRPr="00E81A6E" w:rsidRDefault="00D3372A"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Преходни жилища;</w:t>
      </w:r>
    </w:p>
    <w:p w14:paraId="4E0266DA" w14:textId="77777777" w:rsidR="00D3372A" w:rsidRPr="00E81A6E" w:rsidRDefault="00162DF0" w:rsidP="00350B12">
      <w:pPr>
        <w:pStyle w:val="ListParagraph"/>
        <w:numPr>
          <w:ilvl w:val="0"/>
          <w:numId w:val="27"/>
        </w:numPr>
        <w:spacing w:after="0" w:line="240" w:lineRule="auto"/>
        <w:contextualSpacing/>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Асистентска подкрепа.</w:t>
      </w:r>
    </w:p>
    <w:p w14:paraId="4D30A145" w14:textId="77777777" w:rsidR="00C727AA" w:rsidRPr="00E81A6E" w:rsidRDefault="00C727AA"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Други служби и дейности по социалното осигуряване, подпомагане и  заетостта, в т. ч. по Наредбата за определяне на реда за изплащане от държавата на присъдена издръжка.</w:t>
      </w:r>
    </w:p>
    <w:p w14:paraId="5DA7B95E" w14:textId="77777777" w:rsidR="004C6311" w:rsidRPr="00E81A6E" w:rsidRDefault="00261416"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Кметът на общината определя числеността на персонала за делегираните от държавата дейности във функци</w:t>
      </w:r>
      <w:r w:rsidR="00B518EE" w:rsidRPr="00E81A6E">
        <w:rPr>
          <w:rFonts w:ascii="Times New Roman" w:hAnsi="Times New Roman" w:cs="Times New Roman"/>
          <w:sz w:val="24"/>
          <w:szCs w:val="24"/>
          <w:lang w:val="bg-BG" w:eastAsia="bg-BG"/>
        </w:rPr>
        <w:t>я</w:t>
      </w:r>
      <w:r w:rsidRPr="00E81A6E">
        <w:rPr>
          <w:rFonts w:ascii="Times New Roman" w:hAnsi="Times New Roman" w:cs="Times New Roman"/>
          <w:sz w:val="24"/>
          <w:szCs w:val="24"/>
          <w:lang w:val="bg-BG" w:eastAsia="bg-BG"/>
        </w:rPr>
        <w:t xml:space="preserve"> „Социално осигуряване, подпомагане и грижи”</w:t>
      </w:r>
      <w:r w:rsidR="00B518EE" w:rsidRPr="00E81A6E">
        <w:rPr>
          <w:rFonts w:ascii="Times New Roman" w:hAnsi="Times New Roman" w:cs="Times New Roman"/>
          <w:sz w:val="24"/>
          <w:szCs w:val="24"/>
          <w:lang w:val="bg-BG" w:eastAsia="bg-BG"/>
        </w:rPr>
        <w:t>,</w:t>
      </w:r>
      <w:r w:rsidRPr="00E81A6E">
        <w:rPr>
          <w:rFonts w:ascii="Times New Roman" w:hAnsi="Times New Roman" w:cs="Times New Roman"/>
          <w:sz w:val="24"/>
          <w:szCs w:val="24"/>
          <w:lang w:val="bg-BG" w:eastAsia="bg-BG"/>
        </w:rPr>
        <w:t xml:space="preserve"> в рамките на средствата, определени по стандартите.</w:t>
      </w:r>
    </w:p>
    <w:p w14:paraId="067F3B2C" w14:textId="77777777" w:rsidR="00697539" w:rsidRPr="00E81A6E" w:rsidRDefault="00697539"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Средствата за финансиране на нови социални услуги, които ще функционират по проекти на Оперативна програма „Развитие на човешките ресурси”, които приключват в рамките на 2021 г., ще бъдат осигурявани в процеса на изпълнението на бюджета през 2021 г. чрез компенсирани промени между отделни социални услуги по предложение на министъра на труда и социалната политика.</w:t>
      </w:r>
    </w:p>
    <w:p w14:paraId="5A0DA94D"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Допълнително през годината, на база действително извършени разходи, се предоставят от Републиканския бюджет средства за изплащане на присъдени издръжки, които се отразяват във </w:t>
      </w:r>
      <w:r w:rsidRPr="00E81A6E">
        <w:rPr>
          <w:rFonts w:ascii="Times New Roman" w:hAnsi="Times New Roman" w:cs="Times New Roman"/>
          <w:sz w:val="24"/>
          <w:szCs w:val="24"/>
          <w:lang w:val="bg-BG"/>
        </w:rPr>
        <w:t>ф</w:t>
      </w:r>
      <w:r w:rsidRPr="00E81A6E">
        <w:rPr>
          <w:rFonts w:ascii="Times New Roman" w:hAnsi="Times New Roman" w:cs="Times New Roman"/>
          <w:sz w:val="24"/>
          <w:szCs w:val="24"/>
          <w:lang w:val="ru-RU"/>
        </w:rPr>
        <w:t>ункцията като делегирана държавна отговорност. Тук се отразяват и предоставените с корекция от централния бюджет средства за безплатни и с намалени цени пътувания на правоимащи.</w:t>
      </w:r>
    </w:p>
    <w:p w14:paraId="5924D027"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bookmarkStart w:id="104" w:name="_Toc503629631"/>
      <w:r w:rsidRPr="00E81A6E">
        <w:rPr>
          <w:rFonts w:ascii="Times New Roman" w:hAnsi="Times New Roman" w:cs="Times New Roman"/>
          <w:sz w:val="24"/>
          <w:szCs w:val="24"/>
          <w:lang w:val="ru-RU"/>
        </w:rPr>
        <w:t xml:space="preserve">В </w:t>
      </w:r>
      <w:r w:rsidRPr="00E81A6E">
        <w:rPr>
          <w:rFonts w:ascii="Times New Roman" w:hAnsi="Times New Roman" w:cs="Times New Roman"/>
          <w:b/>
          <w:bCs/>
          <w:sz w:val="24"/>
          <w:szCs w:val="24"/>
          <w:lang w:val="ru-RU"/>
        </w:rPr>
        <w:t>дофинансиране на държавни дейности</w:t>
      </w:r>
      <w:r w:rsidRPr="00E81A6E">
        <w:rPr>
          <w:rFonts w:ascii="Times New Roman" w:hAnsi="Times New Roman" w:cs="Times New Roman"/>
          <w:sz w:val="24"/>
          <w:szCs w:val="24"/>
          <w:lang w:val="ru-RU"/>
        </w:rPr>
        <w:t xml:space="preserve"> е отразена сумата от </w:t>
      </w:r>
      <w:r w:rsidR="00D335C7" w:rsidRPr="00E81A6E">
        <w:rPr>
          <w:rFonts w:ascii="Times New Roman" w:hAnsi="Times New Roman" w:cs="Times New Roman"/>
          <w:sz w:val="24"/>
          <w:szCs w:val="24"/>
          <w:lang w:val="ru-RU"/>
        </w:rPr>
        <w:t xml:space="preserve">522,678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заплати, осигурителни вноски и издръжка на одобрени от С</w:t>
      </w:r>
      <w:r w:rsidR="00237F85" w:rsidRPr="00E81A6E">
        <w:rPr>
          <w:rFonts w:ascii="Times New Roman" w:hAnsi="Times New Roman" w:cs="Times New Roman"/>
          <w:sz w:val="24"/>
          <w:szCs w:val="24"/>
          <w:lang w:val="ru-RU"/>
        </w:rPr>
        <w:t>толичен общински съвет</w:t>
      </w:r>
      <w:r w:rsidR="00EE3A55" w:rsidRPr="00E81A6E">
        <w:rPr>
          <w:rFonts w:ascii="Times New Roman" w:hAnsi="Times New Roman" w:cs="Times New Roman"/>
          <w:sz w:val="24"/>
          <w:szCs w:val="24"/>
          <w:lang w:val="ru-RU"/>
        </w:rPr>
        <w:t xml:space="preserve"> 27</w:t>
      </w:r>
      <w:r w:rsidRPr="00E81A6E">
        <w:rPr>
          <w:rFonts w:ascii="Times New Roman" w:hAnsi="Times New Roman" w:cs="Times New Roman"/>
          <w:sz w:val="24"/>
          <w:szCs w:val="24"/>
          <w:lang w:val="ru-RU"/>
        </w:rPr>
        <w:t xml:space="preserve"> щатни бройки персонал в социалните </w:t>
      </w:r>
      <w:r w:rsidRPr="00E81A6E">
        <w:rPr>
          <w:rFonts w:ascii="Times New Roman" w:hAnsi="Times New Roman" w:cs="Times New Roman"/>
          <w:sz w:val="24"/>
          <w:szCs w:val="24"/>
          <w:lang w:val="bg-BG"/>
        </w:rPr>
        <w:t>заведения и услуги</w:t>
      </w:r>
      <w:r w:rsidRPr="00E81A6E">
        <w:rPr>
          <w:rFonts w:ascii="Times New Roman" w:hAnsi="Times New Roman" w:cs="Times New Roman"/>
          <w:sz w:val="24"/>
          <w:szCs w:val="24"/>
          <w:lang w:val="ru-RU"/>
        </w:rPr>
        <w:t>.</w:t>
      </w:r>
      <w:bookmarkEnd w:id="104"/>
    </w:p>
    <w:p w14:paraId="7452588F"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lastRenderedPageBreak/>
        <w:t>Общински дейности</w:t>
      </w:r>
      <w:r w:rsidRPr="00E81A6E">
        <w:rPr>
          <w:rFonts w:ascii="Times New Roman" w:hAnsi="Times New Roman" w:cs="Times New Roman"/>
          <w:sz w:val="24"/>
          <w:szCs w:val="24"/>
          <w:lang w:val="ru-RU"/>
        </w:rPr>
        <w:t xml:space="preserve"> за функцията включват трапезарии, домашен социален патронаж, клубове на пенсионера и инвалида и 9 бюра за социални услуги.</w:t>
      </w:r>
    </w:p>
    <w:p w14:paraId="161C517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За социални дейности са разчетени </w:t>
      </w:r>
      <w:r w:rsidRPr="00E81A6E">
        <w:rPr>
          <w:rFonts w:ascii="Times New Roman" w:hAnsi="Times New Roman" w:cs="Times New Roman"/>
          <w:sz w:val="24"/>
          <w:szCs w:val="24"/>
          <w:lang w:val="bg-BG"/>
        </w:rPr>
        <w:t>1</w:t>
      </w:r>
      <w:r w:rsidR="00E75153" w:rsidRPr="00E81A6E">
        <w:rPr>
          <w:rFonts w:ascii="Times New Roman" w:hAnsi="Times New Roman" w:cs="Times New Roman"/>
          <w:sz w:val="24"/>
          <w:szCs w:val="24"/>
          <w:lang w:val="bg-BG"/>
        </w:rPr>
        <w:t>5</w:t>
      </w:r>
      <w:r w:rsidRPr="00E81A6E">
        <w:rPr>
          <w:rFonts w:ascii="Times New Roman" w:hAnsi="Times New Roman" w:cs="Times New Roman"/>
          <w:sz w:val="24"/>
          <w:szCs w:val="24"/>
          <w:lang w:val="ru-RU"/>
        </w:rPr>
        <w:t>,</w:t>
      </w:r>
      <w:r w:rsidR="00D335C7" w:rsidRPr="00E81A6E">
        <w:rPr>
          <w:rFonts w:ascii="Times New Roman" w:hAnsi="Times New Roman" w:cs="Times New Roman"/>
          <w:sz w:val="24"/>
          <w:szCs w:val="24"/>
          <w:lang w:val="ru-RU"/>
        </w:rPr>
        <w:t>7</w:t>
      </w:r>
      <w:r w:rsidR="00147DB3" w:rsidRPr="00E81A6E">
        <w:rPr>
          <w:rFonts w:ascii="Times New Roman" w:hAnsi="Times New Roman" w:cs="Times New Roman"/>
          <w:sz w:val="24"/>
          <w:szCs w:val="24"/>
          <w:lang w:val="ru-RU"/>
        </w:rPr>
        <w:t>62</w:t>
      </w:r>
      <w:r w:rsidRPr="00E81A6E">
        <w:rPr>
          <w:rFonts w:ascii="Times New Roman" w:hAnsi="Times New Roman" w:cs="Times New Roman"/>
          <w:sz w:val="24"/>
          <w:szCs w:val="24"/>
          <w:lang w:val="ru-RU"/>
        </w:rPr>
        <w:t>,</w:t>
      </w:r>
      <w:r w:rsidR="00D335C7" w:rsidRPr="00E81A6E">
        <w:rPr>
          <w:rFonts w:ascii="Times New Roman" w:hAnsi="Times New Roman" w:cs="Times New Roman"/>
          <w:sz w:val="24"/>
          <w:szCs w:val="24"/>
          <w:lang w:val="ru-RU"/>
        </w:rPr>
        <w:t>6</w:t>
      </w:r>
      <w:r w:rsidR="00147DB3" w:rsidRPr="00E81A6E">
        <w:rPr>
          <w:rFonts w:ascii="Times New Roman" w:hAnsi="Times New Roman" w:cs="Times New Roman"/>
          <w:sz w:val="24"/>
          <w:szCs w:val="24"/>
          <w:lang w:val="ru-RU"/>
        </w:rPr>
        <w:t>80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 xml:space="preserve"> за </w:t>
      </w:r>
      <w:r w:rsidRPr="00E81A6E">
        <w:rPr>
          <w:rFonts w:ascii="Times New Roman" w:hAnsi="Times New Roman" w:cs="Times New Roman"/>
          <w:sz w:val="24"/>
          <w:szCs w:val="24"/>
          <w:lang w:val="ru-RU"/>
        </w:rPr>
        <w:t>текущи разходи</w:t>
      </w:r>
      <w:r w:rsidRPr="00E81A6E">
        <w:rPr>
          <w:rFonts w:ascii="Times New Roman" w:hAnsi="Times New Roman" w:cs="Times New Roman"/>
          <w:sz w:val="24"/>
          <w:szCs w:val="24"/>
          <w:lang w:val="bg-BG"/>
        </w:rPr>
        <w:t>. В</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това число</w:t>
      </w:r>
      <w:r w:rsidRPr="00E81A6E">
        <w:rPr>
          <w:rFonts w:ascii="Times New Roman" w:hAnsi="Times New Roman" w:cs="Times New Roman"/>
          <w:sz w:val="24"/>
          <w:szCs w:val="24"/>
          <w:lang w:val="bg-BG"/>
        </w:rPr>
        <w:t xml:space="preserve"> са разходите за</w:t>
      </w:r>
      <w:r w:rsidRPr="00E81A6E">
        <w:rPr>
          <w:rFonts w:ascii="Times New Roman" w:hAnsi="Times New Roman" w:cs="Times New Roman"/>
          <w:sz w:val="24"/>
          <w:szCs w:val="24"/>
          <w:lang w:val="ru-RU"/>
        </w:rPr>
        <w:t>:</w:t>
      </w:r>
    </w:p>
    <w:p w14:paraId="576E5B9C" w14:textId="77777777" w:rsidR="006F5B92" w:rsidRPr="00E81A6E" w:rsidRDefault="006F5B92" w:rsidP="00350B12">
      <w:pPr>
        <w:pStyle w:val="ListParagraph"/>
        <w:numPr>
          <w:ilvl w:val="0"/>
          <w:numId w:val="28"/>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заплати 1,</w:t>
      </w:r>
      <w:r w:rsidR="00D335C7" w:rsidRPr="00E81A6E">
        <w:rPr>
          <w:rFonts w:ascii="Times New Roman" w:hAnsi="Times New Roman" w:cs="Times New Roman"/>
          <w:i/>
          <w:iCs/>
          <w:sz w:val="24"/>
          <w:szCs w:val="24"/>
          <w:lang w:val="bg-BG"/>
        </w:rPr>
        <w:t>805</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690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3FBD428B" w14:textId="77777777" w:rsidR="006F5B92" w:rsidRPr="00E81A6E" w:rsidRDefault="006F5B92" w:rsidP="00350B12">
      <w:pPr>
        <w:pStyle w:val="ListParagraph"/>
        <w:numPr>
          <w:ilvl w:val="0"/>
          <w:numId w:val="28"/>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осигурителни вноски </w:t>
      </w:r>
      <w:r w:rsidRPr="00E81A6E">
        <w:rPr>
          <w:rFonts w:ascii="Times New Roman" w:hAnsi="Times New Roman" w:cs="Times New Roman"/>
          <w:i/>
          <w:iCs/>
          <w:sz w:val="24"/>
          <w:szCs w:val="24"/>
          <w:lang w:val="bg-BG"/>
        </w:rPr>
        <w:t>1,</w:t>
      </w:r>
      <w:r w:rsidR="00D335C7" w:rsidRPr="00E81A6E">
        <w:rPr>
          <w:rFonts w:ascii="Times New Roman" w:hAnsi="Times New Roman" w:cs="Times New Roman"/>
          <w:i/>
          <w:iCs/>
          <w:sz w:val="24"/>
          <w:szCs w:val="24"/>
          <w:lang w:val="bg-BG"/>
        </w:rPr>
        <w:t>160</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613</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5AAEA44A" w14:textId="77777777" w:rsidR="006F5B92" w:rsidRPr="00E81A6E" w:rsidRDefault="006F5B92" w:rsidP="00350B12">
      <w:pPr>
        <w:pStyle w:val="ListParagraph"/>
        <w:numPr>
          <w:ilvl w:val="0"/>
          <w:numId w:val="28"/>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издръжка </w:t>
      </w:r>
      <w:r w:rsidRPr="00E81A6E">
        <w:rPr>
          <w:rFonts w:ascii="Times New Roman" w:hAnsi="Times New Roman" w:cs="Times New Roman"/>
          <w:i/>
          <w:iCs/>
          <w:sz w:val="24"/>
          <w:szCs w:val="24"/>
          <w:lang w:val="bg-BG"/>
        </w:rPr>
        <w:t>12</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796</w:t>
      </w:r>
      <w:r w:rsidRPr="00E81A6E">
        <w:rPr>
          <w:rFonts w:ascii="Times New Roman" w:hAnsi="Times New Roman" w:cs="Times New Roman"/>
          <w:i/>
          <w:iCs/>
          <w:sz w:val="24"/>
          <w:szCs w:val="24"/>
        </w:rPr>
        <w:t>,</w:t>
      </w:r>
      <w:r w:rsidR="00584A16" w:rsidRPr="00E81A6E">
        <w:rPr>
          <w:rFonts w:ascii="Times New Roman" w:hAnsi="Times New Roman" w:cs="Times New Roman"/>
          <w:i/>
          <w:iCs/>
          <w:sz w:val="24"/>
          <w:szCs w:val="24"/>
        </w:rPr>
        <w:t>3</w:t>
      </w:r>
      <w:r w:rsidR="00D335C7" w:rsidRPr="00E81A6E">
        <w:rPr>
          <w:rFonts w:ascii="Times New Roman" w:hAnsi="Times New Roman" w:cs="Times New Roman"/>
          <w:i/>
          <w:iCs/>
          <w:sz w:val="24"/>
          <w:szCs w:val="24"/>
          <w:lang w:val="bg-BG"/>
        </w:rPr>
        <w:t>77</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78E183E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Тук са включени средствата за предоставяната от общината услуга “Асистент за независим живот”</w:t>
      </w:r>
      <w:r w:rsidR="00191712" w:rsidRPr="00E81A6E">
        <w:rPr>
          <w:rFonts w:ascii="Times New Roman" w:hAnsi="Times New Roman" w:cs="Times New Roman"/>
          <w:sz w:val="24"/>
          <w:szCs w:val="24"/>
          <w:lang w:val="ru-RU"/>
        </w:rPr>
        <w:t xml:space="preserve">, където са разчетени </w:t>
      </w:r>
      <w:r w:rsidR="00B21D9A" w:rsidRPr="00E81A6E">
        <w:rPr>
          <w:rFonts w:ascii="Times New Roman" w:hAnsi="Times New Roman" w:cs="Times New Roman"/>
          <w:sz w:val="24"/>
          <w:szCs w:val="24"/>
          <w:lang w:val="ru-RU"/>
        </w:rPr>
        <w:t xml:space="preserve">и </w:t>
      </w:r>
      <w:r w:rsidRPr="00E81A6E">
        <w:rPr>
          <w:rFonts w:ascii="Times New Roman" w:hAnsi="Times New Roman" w:cs="Times New Roman"/>
          <w:sz w:val="24"/>
          <w:szCs w:val="24"/>
          <w:lang w:val="ru-RU"/>
        </w:rPr>
        <w:t xml:space="preserve">възнагражденията на социалните асистенти. </w:t>
      </w:r>
    </w:p>
    <w:p w14:paraId="7E8DE04C" w14:textId="77777777" w:rsidR="00191712" w:rsidRPr="00E81A6E" w:rsidRDefault="0019171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Осигурителните вноски са показани общо.</w:t>
      </w:r>
    </w:p>
    <w:p w14:paraId="23E2CA6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За </w:t>
      </w:r>
      <w:r w:rsidRPr="00E81A6E">
        <w:rPr>
          <w:rFonts w:ascii="Times New Roman" w:hAnsi="Times New Roman" w:cs="Times New Roman"/>
          <w:b/>
          <w:sz w:val="24"/>
          <w:szCs w:val="24"/>
          <w:lang w:val="ru-RU"/>
        </w:rPr>
        <w:t>социален патронаж</w:t>
      </w:r>
      <w:r w:rsidRPr="00E81A6E">
        <w:rPr>
          <w:rFonts w:ascii="Times New Roman" w:hAnsi="Times New Roman" w:cs="Times New Roman"/>
          <w:sz w:val="24"/>
          <w:szCs w:val="24"/>
          <w:lang w:val="ru-RU"/>
        </w:rPr>
        <w:t xml:space="preserve"> са </w:t>
      </w:r>
      <w:r w:rsidRPr="00E81A6E">
        <w:rPr>
          <w:rFonts w:ascii="Times New Roman" w:hAnsi="Times New Roman" w:cs="Times New Roman"/>
          <w:sz w:val="24"/>
          <w:szCs w:val="24"/>
          <w:lang w:val="bg-BG"/>
        </w:rPr>
        <w:t>разчетени 5</w:t>
      </w:r>
      <w:r w:rsidRPr="00E81A6E">
        <w:rPr>
          <w:rFonts w:ascii="Times New Roman" w:hAnsi="Times New Roman" w:cs="Times New Roman"/>
          <w:sz w:val="24"/>
          <w:szCs w:val="24"/>
          <w:lang w:val="ru-RU"/>
        </w:rPr>
        <w:t>,</w:t>
      </w:r>
      <w:r w:rsidR="00D335C7" w:rsidRPr="00E81A6E">
        <w:rPr>
          <w:rFonts w:ascii="Times New Roman" w:hAnsi="Times New Roman" w:cs="Times New Roman"/>
          <w:sz w:val="24"/>
          <w:szCs w:val="24"/>
          <w:lang w:val="ru-RU"/>
        </w:rPr>
        <w:t>676</w:t>
      </w:r>
      <w:r w:rsidRPr="00E81A6E">
        <w:rPr>
          <w:rFonts w:ascii="Times New Roman" w:hAnsi="Times New Roman" w:cs="Times New Roman"/>
          <w:sz w:val="24"/>
          <w:szCs w:val="24"/>
          <w:lang w:val="ru-RU"/>
        </w:rPr>
        <w:t>,</w:t>
      </w:r>
      <w:r w:rsidR="00584A16" w:rsidRPr="00E81A6E">
        <w:rPr>
          <w:rFonts w:ascii="Times New Roman" w:hAnsi="Times New Roman" w:cs="Times New Roman"/>
          <w:sz w:val="24"/>
          <w:szCs w:val="24"/>
        </w:rPr>
        <w:t>3</w:t>
      </w:r>
      <w:r w:rsidR="00D335C7" w:rsidRPr="00E81A6E">
        <w:rPr>
          <w:rFonts w:ascii="Times New Roman" w:hAnsi="Times New Roman" w:cs="Times New Roman"/>
          <w:sz w:val="24"/>
          <w:szCs w:val="24"/>
          <w:lang w:val="bg-BG"/>
        </w:rPr>
        <w:t>71</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в това число:</w:t>
      </w:r>
    </w:p>
    <w:p w14:paraId="4E7BC8EE" w14:textId="77777777" w:rsidR="006F5B92" w:rsidRPr="00E81A6E" w:rsidRDefault="006F5B92" w:rsidP="00350B12">
      <w:pPr>
        <w:pStyle w:val="ListParagraph"/>
        <w:numPr>
          <w:ilvl w:val="0"/>
          <w:numId w:val="2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заплати </w:t>
      </w:r>
      <w:r w:rsidR="00D335C7" w:rsidRPr="00E81A6E">
        <w:rPr>
          <w:rFonts w:ascii="Times New Roman" w:hAnsi="Times New Roman" w:cs="Times New Roman"/>
          <w:i/>
          <w:iCs/>
          <w:sz w:val="24"/>
          <w:szCs w:val="24"/>
          <w:lang w:val="bg-BG"/>
        </w:rPr>
        <w:t>3</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143</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910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7DD8216F" w14:textId="77777777" w:rsidR="006F5B92" w:rsidRPr="00E81A6E" w:rsidRDefault="006F5B92" w:rsidP="00350B12">
      <w:pPr>
        <w:pStyle w:val="ListParagraph"/>
        <w:numPr>
          <w:ilvl w:val="0"/>
          <w:numId w:val="2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осигурителни вноски</w:t>
      </w:r>
      <w:r w:rsidRPr="00E81A6E">
        <w:rPr>
          <w:rFonts w:ascii="Times New Roman" w:hAnsi="Times New Roman" w:cs="Times New Roman"/>
          <w:i/>
          <w:iCs/>
          <w:sz w:val="24"/>
          <w:szCs w:val="24"/>
          <w:lang w:val="bg-BG"/>
        </w:rPr>
        <w:t xml:space="preserve"> </w:t>
      </w:r>
      <w:r w:rsidR="00D335C7" w:rsidRPr="00E81A6E">
        <w:rPr>
          <w:rFonts w:ascii="Times New Roman" w:hAnsi="Times New Roman" w:cs="Times New Roman"/>
          <w:i/>
          <w:iCs/>
          <w:sz w:val="24"/>
          <w:szCs w:val="24"/>
          <w:lang w:val="bg-BG"/>
        </w:rPr>
        <w:t>606</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961</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67878A65" w14:textId="77777777" w:rsidR="006F5B92" w:rsidRPr="00E81A6E" w:rsidRDefault="006F5B92" w:rsidP="00350B12">
      <w:pPr>
        <w:pStyle w:val="ListParagraph"/>
        <w:numPr>
          <w:ilvl w:val="0"/>
          <w:numId w:val="2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издръжка </w:t>
      </w:r>
      <w:r w:rsidR="00D335C7" w:rsidRPr="00E81A6E">
        <w:rPr>
          <w:rFonts w:ascii="Times New Roman" w:hAnsi="Times New Roman" w:cs="Times New Roman"/>
          <w:i/>
          <w:iCs/>
          <w:sz w:val="24"/>
          <w:szCs w:val="24"/>
          <w:lang w:val="bg-BG"/>
        </w:rPr>
        <w:t>1</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925</w:t>
      </w:r>
      <w:r w:rsidRPr="00E81A6E">
        <w:rPr>
          <w:rFonts w:ascii="Times New Roman" w:hAnsi="Times New Roman" w:cs="Times New Roman"/>
          <w:i/>
          <w:iCs/>
          <w:sz w:val="24"/>
          <w:szCs w:val="24"/>
        </w:rPr>
        <w:t>,</w:t>
      </w:r>
      <w:r w:rsidR="00D335C7" w:rsidRPr="00E81A6E">
        <w:rPr>
          <w:rFonts w:ascii="Times New Roman" w:hAnsi="Times New Roman" w:cs="Times New Roman"/>
          <w:i/>
          <w:iCs/>
          <w:sz w:val="24"/>
          <w:szCs w:val="24"/>
          <w:lang w:val="bg-BG"/>
        </w:rPr>
        <w:t>500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55D53442"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На основание Решение на СОС № 37 /Протокол №8/14.03.2000г./, от общинските бюджети се подпомагат разходите за погребения за самотни, без близки роднини, бездомни, безпризорни, настанени в заведения за социални услуги и регистрирани в службите за социално подпомагане лица. Дейността по предоставяне на помощите е възложена на дирекция “</w:t>
      </w:r>
      <w:r w:rsidRPr="00E81A6E">
        <w:rPr>
          <w:rFonts w:ascii="Times New Roman" w:hAnsi="Times New Roman" w:cs="Times New Roman"/>
          <w:sz w:val="24"/>
          <w:szCs w:val="24"/>
          <w:lang w:val="bg-BG"/>
        </w:rPr>
        <w:t>Социални услуги за деца и възрастни</w:t>
      </w:r>
      <w:r w:rsidRPr="00E81A6E">
        <w:rPr>
          <w:rFonts w:ascii="Times New Roman" w:hAnsi="Times New Roman" w:cs="Times New Roman"/>
          <w:sz w:val="24"/>
          <w:szCs w:val="24"/>
          <w:lang w:val="ru-RU"/>
        </w:rPr>
        <w:t xml:space="preserve">” със Заповед № </w:t>
      </w:r>
      <w:r w:rsidRPr="00E81A6E">
        <w:rPr>
          <w:rFonts w:ascii="Times New Roman" w:hAnsi="Times New Roman" w:cs="Times New Roman"/>
          <w:sz w:val="24"/>
          <w:szCs w:val="24"/>
          <w:lang w:val="bg-BG"/>
        </w:rPr>
        <w:t>СОА17-РД09-859</w:t>
      </w:r>
      <w:r w:rsidRPr="00E81A6E">
        <w:rPr>
          <w:rFonts w:ascii="Times New Roman" w:hAnsi="Times New Roman" w:cs="Times New Roman"/>
          <w:sz w:val="24"/>
          <w:szCs w:val="24"/>
          <w:lang w:val="ru-RU"/>
        </w:rPr>
        <w:t>/</w:t>
      </w:r>
      <w:r w:rsidRPr="00E81A6E">
        <w:rPr>
          <w:rFonts w:ascii="Times New Roman" w:hAnsi="Times New Roman" w:cs="Times New Roman"/>
          <w:sz w:val="24"/>
          <w:szCs w:val="24"/>
          <w:lang w:val="bg-BG"/>
        </w:rPr>
        <w:t>28</w:t>
      </w:r>
      <w:r w:rsidRPr="00E81A6E">
        <w:rPr>
          <w:rFonts w:ascii="Times New Roman" w:hAnsi="Times New Roman" w:cs="Times New Roman"/>
          <w:sz w:val="24"/>
          <w:szCs w:val="24"/>
          <w:lang w:val="ru-RU"/>
        </w:rPr>
        <w:t>.</w:t>
      </w:r>
      <w:r w:rsidRPr="00E81A6E">
        <w:rPr>
          <w:rFonts w:ascii="Times New Roman" w:hAnsi="Times New Roman" w:cs="Times New Roman"/>
          <w:sz w:val="24"/>
          <w:szCs w:val="24"/>
          <w:lang w:val="bg-BG"/>
        </w:rPr>
        <w:t>09</w:t>
      </w:r>
      <w:r w:rsidRPr="00E81A6E">
        <w:rPr>
          <w:rFonts w:ascii="Times New Roman" w:hAnsi="Times New Roman" w:cs="Times New Roman"/>
          <w:sz w:val="24"/>
          <w:szCs w:val="24"/>
          <w:lang w:val="ru-RU"/>
        </w:rPr>
        <w:t>.20</w:t>
      </w:r>
      <w:r w:rsidRPr="00E81A6E">
        <w:rPr>
          <w:rFonts w:ascii="Times New Roman" w:hAnsi="Times New Roman" w:cs="Times New Roman"/>
          <w:sz w:val="24"/>
          <w:szCs w:val="24"/>
          <w:lang w:val="bg-BG"/>
        </w:rPr>
        <w:t>17</w:t>
      </w:r>
      <w:r w:rsidRPr="00E81A6E">
        <w:rPr>
          <w:rFonts w:ascii="Times New Roman" w:hAnsi="Times New Roman" w:cs="Times New Roman"/>
          <w:sz w:val="24"/>
          <w:szCs w:val="24"/>
          <w:lang w:val="ru-RU"/>
        </w:rPr>
        <w:t>г. на Кмета на Столична община. Средствата, разчетени за тази цел, се отразяват в дейност “Обредни домове и зали” по разходен параграф “Други помощи по решение на общинските съвети” и за 20</w:t>
      </w:r>
      <w:r w:rsidR="00E75153" w:rsidRPr="00E81A6E">
        <w:rPr>
          <w:rFonts w:ascii="Times New Roman" w:hAnsi="Times New Roman" w:cs="Times New Roman"/>
          <w:sz w:val="24"/>
          <w:szCs w:val="24"/>
          <w:lang w:val="ru-RU"/>
        </w:rPr>
        <w:t>2</w:t>
      </w:r>
      <w:r w:rsidR="002E671F"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г. са 40,000</w:t>
      </w:r>
      <w:r w:rsidR="008E5645" w:rsidRPr="00E81A6E">
        <w:rPr>
          <w:rFonts w:ascii="Times New Roman" w:hAnsi="Times New Roman" w:cs="Times New Roman"/>
          <w:sz w:val="24"/>
          <w:szCs w:val="24"/>
          <w:lang w:val="ru-RU"/>
        </w:rPr>
        <w:t xml:space="preserve"> лв.</w:t>
      </w:r>
    </w:p>
    <w:p w14:paraId="6F42B392"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ru-RU"/>
        </w:rPr>
      </w:pPr>
    </w:p>
    <w:p w14:paraId="6CEFE1F2"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ru-RU"/>
        </w:rPr>
      </w:pPr>
      <w:bookmarkStart w:id="105" w:name="_Toc409874555"/>
      <w:bookmarkStart w:id="106" w:name="_Toc499639784"/>
      <w:bookmarkStart w:id="107" w:name="_Toc500496080"/>
      <w:bookmarkStart w:id="108" w:name="_Toc500496426"/>
      <w:bookmarkStart w:id="109" w:name="_Toc61971780"/>
      <w:bookmarkStart w:id="110" w:name="_Toc503629636"/>
      <w:r w:rsidRPr="00E81A6E">
        <w:rPr>
          <w:rFonts w:ascii="Times New Roman" w:hAnsi="Times New Roman" w:cs="Times New Roman"/>
          <w:color w:val="auto"/>
          <w:sz w:val="24"/>
          <w:szCs w:val="24"/>
          <w:lang w:val="ru-RU"/>
        </w:rPr>
        <w:t>Функция “Жилищно строителство, БКС и опазване на околната среда”</w:t>
      </w:r>
      <w:bookmarkEnd w:id="105"/>
      <w:bookmarkEnd w:id="106"/>
      <w:bookmarkEnd w:id="107"/>
      <w:bookmarkEnd w:id="108"/>
      <w:bookmarkEnd w:id="109"/>
      <w:r w:rsidR="00B26384" w:rsidRPr="00E81A6E">
        <w:rPr>
          <w:rFonts w:ascii="Times New Roman" w:hAnsi="Times New Roman" w:cs="Times New Roman"/>
          <w:color w:val="auto"/>
          <w:sz w:val="24"/>
          <w:szCs w:val="24"/>
          <w:lang w:val="ru-RU"/>
        </w:rPr>
        <w:t xml:space="preserve"> </w:t>
      </w:r>
      <w:bookmarkEnd w:id="110"/>
    </w:p>
    <w:p w14:paraId="49BBEF22"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За тази функция за текущи разходи </w:t>
      </w:r>
      <w:r w:rsidR="00237F85" w:rsidRPr="00E81A6E">
        <w:rPr>
          <w:rFonts w:ascii="Times New Roman" w:hAnsi="Times New Roman" w:cs="Times New Roman"/>
          <w:sz w:val="24"/>
          <w:szCs w:val="24"/>
          <w:lang w:val="ru-RU"/>
        </w:rPr>
        <w:t xml:space="preserve">са </w:t>
      </w:r>
      <w:r w:rsidRPr="00E81A6E">
        <w:rPr>
          <w:rFonts w:ascii="Times New Roman" w:hAnsi="Times New Roman" w:cs="Times New Roman"/>
          <w:sz w:val="24"/>
          <w:szCs w:val="24"/>
          <w:lang w:val="ru-RU"/>
        </w:rPr>
        <w:t>предвидени</w:t>
      </w:r>
      <w:r w:rsidRPr="00E81A6E">
        <w:rPr>
          <w:rFonts w:ascii="Times New Roman" w:hAnsi="Times New Roman" w:cs="Times New Roman"/>
          <w:b/>
          <w:bCs/>
          <w:sz w:val="24"/>
          <w:szCs w:val="24"/>
          <w:lang w:val="ru-RU"/>
        </w:rPr>
        <w:t xml:space="preserve"> </w:t>
      </w:r>
      <w:r w:rsidR="00757144" w:rsidRPr="00E81A6E">
        <w:rPr>
          <w:rFonts w:ascii="Times New Roman" w:hAnsi="Times New Roman" w:cs="Times New Roman"/>
          <w:b/>
          <w:bCs/>
          <w:sz w:val="24"/>
          <w:szCs w:val="24"/>
          <w:lang w:val="ru-RU"/>
        </w:rPr>
        <w:t>308</w:t>
      </w:r>
      <w:r w:rsidRPr="00E81A6E">
        <w:rPr>
          <w:rFonts w:ascii="Times New Roman" w:hAnsi="Times New Roman" w:cs="Times New Roman"/>
          <w:b/>
          <w:bCs/>
          <w:sz w:val="24"/>
          <w:szCs w:val="24"/>
          <w:lang w:val="bg-BG"/>
        </w:rPr>
        <w:t>,</w:t>
      </w:r>
      <w:r w:rsidR="00DD5465" w:rsidRPr="00E81A6E">
        <w:rPr>
          <w:rFonts w:ascii="Times New Roman" w:hAnsi="Times New Roman" w:cs="Times New Roman"/>
          <w:b/>
          <w:bCs/>
          <w:sz w:val="24"/>
          <w:szCs w:val="24"/>
          <w:lang w:val="bg-BG"/>
        </w:rPr>
        <w:t>399</w:t>
      </w:r>
      <w:r w:rsidRPr="00E81A6E">
        <w:rPr>
          <w:rFonts w:ascii="Times New Roman" w:hAnsi="Times New Roman" w:cs="Times New Roman"/>
          <w:b/>
          <w:bCs/>
          <w:sz w:val="24"/>
          <w:szCs w:val="24"/>
          <w:lang w:val="bg-BG"/>
        </w:rPr>
        <w:t>,</w:t>
      </w:r>
      <w:r w:rsidR="00757144" w:rsidRPr="00E81A6E">
        <w:rPr>
          <w:rFonts w:ascii="Times New Roman" w:hAnsi="Times New Roman" w:cs="Times New Roman"/>
          <w:b/>
          <w:bCs/>
          <w:sz w:val="24"/>
          <w:szCs w:val="24"/>
          <w:lang w:val="bg-BG"/>
        </w:rPr>
        <w:t>658</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Тя е изцяло общинска отговорност и се финансира от общинските приходи</w:t>
      </w:r>
      <w:r w:rsidRPr="00E81A6E">
        <w:rPr>
          <w:rFonts w:ascii="Times New Roman" w:hAnsi="Times New Roman" w:cs="Times New Roman"/>
          <w:sz w:val="24"/>
          <w:szCs w:val="24"/>
          <w:lang w:val="bg-BG"/>
        </w:rPr>
        <w:t xml:space="preserve"> з</w:t>
      </w:r>
      <w:r w:rsidRPr="00E81A6E">
        <w:rPr>
          <w:rFonts w:ascii="Times New Roman" w:hAnsi="Times New Roman" w:cs="Times New Roman"/>
          <w:sz w:val="24"/>
          <w:szCs w:val="24"/>
          <w:lang w:val="ru-RU"/>
        </w:rPr>
        <w:t>а поддържане на благоустройствените и комунални дейности</w:t>
      </w:r>
      <w:r w:rsidRPr="00E81A6E">
        <w:rPr>
          <w:rFonts w:ascii="Times New Roman" w:hAnsi="Times New Roman" w:cs="Times New Roman"/>
          <w:sz w:val="24"/>
          <w:szCs w:val="24"/>
          <w:lang w:val="bg-BG"/>
        </w:rPr>
        <w:t>, в това число:</w:t>
      </w:r>
    </w:p>
    <w:p w14:paraId="49D1CCAF" w14:textId="77777777" w:rsidR="006F5B92" w:rsidRPr="00E81A6E" w:rsidRDefault="006F5B92" w:rsidP="00350B12">
      <w:pPr>
        <w:pStyle w:val="ListParagraph"/>
        <w:numPr>
          <w:ilvl w:val="0"/>
          <w:numId w:val="30"/>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заплати на всички дейности в отрасъла </w:t>
      </w:r>
      <w:r w:rsidR="00757144" w:rsidRPr="00E81A6E">
        <w:rPr>
          <w:rFonts w:ascii="Times New Roman" w:hAnsi="Times New Roman" w:cs="Times New Roman"/>
          <w:i/>
          <w:iCs/>
          <w:sz w:val="24"/>
          <w:szCs w:val="24"/>
          <w:lang w:val="ru-RU"/>
        </w:rPr>
        <w:t>21</w:t>
      </w:r>
      <w:r w:rsidRPr="00E81A6E">
        <w:rPr>
          <w:rFonts w:ascii="Times New Roman" w:hAnsi="Times New Roman" w:cs="Times New Roman"/>
          <w:i/>
          <w:iCs/>
          <w:sz w:val="24"/>
          <w:szCs w:val="24"/>
          <w:lang w:val="ru-RU"/>
        </w:rPr>
        <w:t>,</w:t>
      </w:r>
      <w:r w:rsidR="00757144" w:rsidRPr="00E81A6E">
        <w:rPr>
          <w:rFonts w:ascii="Times New Roman" w:hAnsi="Times New Roman" w:cs="Times New Roman"/>
          <w:i/>
          <w:iCs/>
          <w:sz w:val="24"/>
          <w:szCs w:val="24"/>
          <w:lang w:val="ru-RU"/>
        </w:rPr>
        <w:t>072</w:t>
      </w:r>
      <w:r w:rsidRPr="00E81A6E">
        <w:rPr>
          <w:rFonts w:ascii="Times New Roman" w:hAnsi="Times New Roman" w:cs="Times New Roman"/>
          <w:i/>
          <w:iCs/>
          <w:sz w:val="24"/>
          <w:szCs w:val="24"/>
          <w:lang w:val="ru-RU"/>
        </w:rPr>
        <w:t>,</w:t>
      </w:r>
      <w:r w:rsidR="00757144" w:rsidRPr="00E81A6E">
        <w:rPr>
          <w:rFonts w:ascii="Times New Roman" w:hAnsi="Times New Roman" w:cs="Times New Roman"/>
          <w:i/>
          <w:iCs/>
          <w:sz w:val="24"/>
          <w:szCs w:val="24"/>
          <w:lang w:val="ru-RU"/>
        </w:rPr>
        <w:t>011</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10A62D8B" w14:textId="77777777" w:rsidR="006F5B92" w:rsidRPr="00E81A6E" w:rsidRDefault="006F5B92" w:rsidP="00350B12">
      <w:pPr>
        <w:pStyle w:val="ListParagraph"/>
        <w:numPr>
          <w:ilvl w:val="0"/>
          <w:numId w:val="30"/>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 осигурителни вноски </w:t>
      </w:r>
      <w:r w:rsidR="00757144" w:rsidRPr="00E81A6E">
        <w:rPr>
          <w:rFonts w:ascii="Times New Roman" w:hAnsi="Times New Roman" w:cs="Times New Roman"/>
          <w:i/>
          <w:iCs/>
          <w:sz w:val="24"/>
          <w:szCs w:val="24"/>
          <w:lang w:val="bg-BG"/>
        </w:rPr>
        <w:t>4</w:t>
      </w:r>
      <w:r w:rsidRPr="00E81A6E">
        <w:rPr>
          <w:rFonts w:ascii="Times New Roman" w:hAnsi="Times New Roman" w:cs="Times New Roman"/>
          <w:i/>
          <w:iCs/>
          <w:sz w:val="24"/>
          <w:szCs w:val="24"/>
        </w:rPr>
        <w:t>,</w:t>
      </w:r>
      <w:r w:rsidR="00757144" w:rsidRPr="00E81A6E">
        <w:rPr>
          <w:rFonts w:ascii="Times New Roman" w:hAnsi="Times New Roman" w:cs="Times New Roman"/>
          <w:i/>
          <w:iCs/>
          <w:sz w:val="24"/>
          <w:szCs w:val="24"/>
          <w:lang w:val="bg-BG"/>
        </w:rPr>
        <w:t>329</w:t>
      </w:r>
      <w:r w:rsidRPr="00E81A6E">
        <w:rPr>
          <w:rFonts w:ascii="Times New Roman" w:hAnsi="Times New Roman" w:cs="Times New Roman"/>
          <w:i/>
          <w:iCs/>
          <w:sz w:val="24"/>
          <w:szCs w:val="24"/>
        </w:rPr>
        <w:t>,</w:t>
      </w:r>
      <w:r w:rsidR="00757144" w:rsidRPr="00E81A6E">
        <w:rPr>
          <w:rFonts w:ascii="Times New Roman" w:hAnsi="Times New Roman" w:cs="Times New Roman"/>
          <w:i/>
          <w:iCs/>
          <w:sz w:val="24"/>
          <w:szCs w:val="24"/>
          <w:lang w:val="bg-BG"/>
        </w:rPr>
        <w:t>070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522DEA69" w14:textId="77777777" w:rsidR="006F5B92" w:rsidRPr="00E81A6E" w:rsidRDefault="006F5B92" w:rsidP="00350B12">
      <w:pPr>
        <w:pStyle w:val="ListParagraph"/>
        <w:numPr>
          <w:ilvl w:val="0"/>
          <w:numId w:val="30"/>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 веществена издръжка </w:t>
      </w:r>
      <w:r w:rsidRPr="00E81A6E">
        <w:rPr>
          <w:rFonts w:ascii="Times New Roman" w:hAnsi="Times New Roman" w:cs="Times New Roman"/>
          <w:i/>
          <w:iCs/>
          <w:sz w:val="24"/>
          <w:szCs w:val="24"/>
          <w:lang w:val="bg-BG"/>
        </w:rPr>
        <w:t>2</w:t>
      </w:r>
      <w:r w:rsidR="00757144" w:rsidRPr="00E81A6E">
        <w:rPr>
          <w:rFonts w:ascii="Times New Roman" w:hAnsi="Times New Roman" w:cs="Times New Roman"/>
          <w:i/>
          <w:iCs/>
          <w:sz w:val="24"/>
          <w:szCs w:val="24"/>
          <w:lang w:val="bg-BG"/>
        </w:rPr>
        <w:t>82</w:t>
      </w:r>
      <w:r w:rsidRPr="00E81A6E">
        <w:rPr>
          <w:rFonts w:ascii="Times New Roman" w:hAnsi="Times New Roman" w:cs="Times New Roman"/>
          <w:i/>
          <w:iCs/>
          <w:sz w:val="24"/>
          <w:szCs w:val="24"/>
        </w:rPr>
        <w:t>,</w:t>
      </w:r>
      <w:r w:rsidR="00757144" w:rsidRPr="00E81A6E">
        <w:rPr>
          <w:rFonts w:ascii="Times New Roman" w:hAnsi="Times New Roman" w:cs="Times New Roman"/>
          <w:i/>
          <w:iCs/>
          <w:sz w:val="24"/>
          <w:szCs w:val="24"/>
          <w:lang w:val="bg-BG"/>
        </w:rPr>
        <w:t>868</w:t>
      </w:r>
      <w:r w:rsidRPr="00E81A6E">
        <w:rPr>
          <w:rFonts w:ascii="Times New Roman" w:hAnsi="Times New Roman" w:cs="Times New Roman"/>
          <w:i/>
          <w:iCs/>
          <w:sz w:val="24"/>
          <w:szCs w:val="24"/>
        </w:rPr>
        <w:t>,</w:t>
      </w:r>
      <w:r w:rsidR="00757144" w:rsidRPr="00E81A6E">
        <w:rPr>
          <w:rFonts w:ascii="Times New Roman" w:hAnsi="Times New Roman" w:cs="Times New Roman"/>
          <w:i/>
          <w:iCs/>
          <w:sz w:val="24"/>
          <w:szCs w:val="24"/>
          <w:lang w:val="bg-BG"/>
        </w:rPr>
        <w:t>577</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4686B1D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ru-RU"/>
        </w:rPr>
        <w:t xml:space="preserve">В рамките на издръжката кредитите за </w:t>
      </w:r>
      <w:r w:rsidRPr="00E81A6E">
        <w:rPr>
          <w:rFonts w:ascii="Times New Roman" w:hAnsi="Times New Roman" w:cs="Times New Roman"/>
          <w:b/>
          <w:bCs/>
          <w:sz w:val="24"/>
          <w:szCs w:val="24"/>
          <w:lang w:val="ru-RU"/>
        </w:rPr>
        <w:t>дейност 623 “Чистота”</w:t>
      </w:r>
      <w:r w:rsidRPr="00E81A6E">
        <w:rPr>
          <w:rFonts w:ascii="Times New Roman" w:hAnsi="Times New Roman" w:cs="Times New Roman"/>
          <w:sz w:val="24"/>
          <w:szCs w:val="24"/>
          <w:lang w:val="ru-RU"/>
        </w:rPr>
        <w:t xml:space="preserve"> са </w:t>
      </w:r>
      <w:r w:rsidRPr="00E81A6E">
        <w:rPr>
          <w:rFonts w:ascii="Times New Roman" w:hAnsi="Times New Roman" w:cs="Times New Roman"/>
          <w:b/>
          <w:bCs/>
          <w:sz w:val="24"/>
          <w:szCs w:val="24"/>
          <w:lang w:val="ru-RU"/>
        </w:rPr>
        <w:t>1</w:t>
      </w:r>
      <w:r w:rsidR="00757144" w:rsidRPr="00E81A6E">
        <w:rPr>
          <w:rFonts w:ascii="Times New Roman" w:hAnsi="Times New Roman" w:cs="Times New Roman"/>
          <w:b/>
          <w:bCs/>
          <w:sz w:val="24"/>
          <w:szCs w:val="24"/>
          <w:lang w:val="ru-RU"/>
        </w:rPr>
        <w:t>4</w:t>
      </w:r>
      <w:r w:rsidR="00CA40E3" w:rsidRPr="00E81A6E">
        <w:rPr>
          <w:rFonts w:ascii="Times New Roman" w:hAnsi="Times New Roman" w:cs="Times New Roman"/>
          <w:b/>
          <w:bCs/>
          <w:sz w:val="24"/>
          <w:szCs w:val="24"/>
          <w:lang w:val="ru-RU"/>
        </w:rPr>
        <w:t>9</w:t>
      </w:r>
      <w:r w:rsidRPr="00E81A6E">
        <w:rPr>
          <w:rFonts w:ascii="Times New Roman" w:hAnsi="Times New Roman" w:cs="Times New Roman"/>
          <w:b/>
          <w:bCs/>
          <w:sz w:val="24"/>
          <w:szCs w:val="24"/>
          <w:lang w:val="ru-RU"/>
        </w:rPr>
        <w:t>,</w:t>
      </w:r>
      <w:r w:rsidR="00757144" w:rsidRPr="00E81A6E">
        <w:rPr>
          <w:rFonts w:ascii="Times New Roman" w:hAnsi="Times New Roman" w:cs="Times New Roman"/>
          <w:b/>
          <w:bCs/>
          <w:sz w:val="24"/>
          <w:szCs w:val="24"/>
          <w:lang w:val="ru-RU"/>
        </w:rPr>
        <w:t>015</w:t>
      </w:r>
      <w:r w:rsidRPr="00E81A6E">
        <w:rPr>
          <w:rFonts w:ascii="Times New Roman" w:hAnsi="Times New Roman" w:cs="Times New Roman"/>
          <w:b/>
          <w:bCs/>
          <w:sz w:val="24"/>
          <w:szCs w:val="24"/>
          <w:lang w:val="ru-RU"/>
        </w:rPr>
        <w:t>,</w:t>
      </w:r>
      <w:r w:rsidR="00757144" w:rsidRPr="00E81A6E">
        <w:rPr>
          <w:rFonts w:ascii="Times New Roman" w:hAnsi="Times New Roman" w:cs="Times New Roman"/>
          <w:b/>
          <w:bCs/>
          <w:sz w:val="24"/>
          <w:szCs w:val="24"/>
          <w:lang w:val="ru-RU"/>
        </w:rPr>
        <w:t>029</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rPr>
        <w:t>В дейността са включени:</w:t>
      </w:r>
    </w:p>
    <w:p w14:paraId="3861239A" w14:textId="77777777" w:rsidR="006F5B92" w:rsidRPr="00E81A6E" w:rsidRDefault="006F5B92" w:rsidP="00350B12">
      <w:pPr>
        <w:pStyle w:val="ListParagraph"/>
        <w:numPr>
          <w:ilvl w:val="0"/>
          <w:numId w:val="3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bg-BG"/>
        </w:rPr>
        <w:t>разходите</w:t>
      </w:r>
      <w:r w:rsidRPr="00E81A6E">
        <w:rPr>
          <w:rFonts w:ascii="Times New Roman" w:hAnsi="Times New Roman" w:cs="Times New Roman"/>
          <w:i/>
          <w:iCs/>
          <w:sz w:val="24"/>
          <w:szCs w:val="24"/>
          <w:lang w:val="ru-RU"/>
        </w:rPr>
        <w:t xml:space="preserve"> по договори за почистване на града /общо/ </w:t>
      </w:r>
      <w:r w:rsidRPr="00E81A6E">
        <w:rPr>
          <w:rFonts w:ascii="Times New Roman" w:hAnsi="Times New Roman" w:cs="Times New Roman"/>
          <w:i/>
          <w:iCs/>
          <w:sz w:val="24"/>
          <w:szCs w:val="24"/>
          <w:lang w:val="bg-BG"/>
        </w:rPr>
        <w:t>1</w:t>
      </w:r>
      <w:r w:rsidR="00CA40E3" w:rsidRPr="00E81A6E">
        <w:rPr>
          <w:rFonts w:ascii="Times New Roman" w:hAnsi="Times New Roman" w:cs="Times New Roman"/>
          <w:i/>
          <w:iCs/>
          <w:sz w:val="24"/>
          <w:szCs w:val="24"/>
          <w:lang w:val="bg-BG"/>
        </w:rPr>
        <w:t>2</w:t>
      </w:r>
      <w:r w:rsidR="00757144" w:rsidRPr="00E81A6E">
        <w:rPr>
          <w:rFonts w:ascii="Times New Roman" w:hAnsi="Times New Roman" w:cs="Times New Roman"/>
          <w:i/>
          <w:iCs/>
          <w:sz w:val="24"/>
          <w:szCs w:val="24"/>
          <w:lang w:val="bg-BG"/>
        </w:rPr>
        <w:t>9</w:t>
      </w:r>
      <w:r w:rsidRPr="00E81A6E">
        <w:rPr>
          <w:rFonts w:ascii="Times New Roman" w:hAnsi="Times New Roman" w:cs="Times New Roman"/>
          <w:i/>
          <w:iCs/>
          <w:sz w:val="24"/>
          <w:szCs w:val="24"/>
          <w:lang w:val="ru-RU"/>
        </w:rPr>
        <w:t>,</w:t>
      </w:r>
      <w:r w:rsidR="00757144" w:rsidRPr="00E81A6E">
        <w:rPr>
          <w:rFonts w:ascii="Times New Roman" w:hAnsi="Times New Roman" w:cs="Times New Roman"/>
          <w:i/>
          <w:iCs/>
          <w:sz w:val="24"/>
          <w:szCs w:val="24"/>
          <w:lang w:val="ru-RU"/>
        </w:rPr>
        <w:t>8</w:t>
      </w:r>
      <w:r w:rsidRPr="00E81A6E">
        <w:rPr>
          <w:rFonts w:ascii="Times New Roman" w:hAnsi="Times New Roman" w:cs="Times New Roman"/>
          <w:i/>
          <w:iCs/>
          <w:sz w:val="24"/>
          <w:szCs w:val="24"/>
          <w:lang w:val="bg-BG"/>
        </w:rPr>
        <w:t>00</w:t>
      </w:r>
      <w:r w:rsidRPr="00E81A6E">
        <w:rPr>
          <w:rFonts w:ascii="Times New Roman" w:hAnsi="Times New Roman" w:cs="Times New Roman"/>
          <w:i/>
          <w:iCs/>
          <w:sz w:val="24"/>
          <w:szCs w:val="24"/>
          <w:lang w:val="ru-RU"/>
        </w:rPr>
        <w:t>,</w:t>
      </w:r>
      <w:r w:rsidRPr="00E81A6E">
        <w:rPr>
          <w:rFonts w:ascii="Times New Roman" w:hAnsi="Times New Roman" w:cs="Times New Roman"/>
          <w:i/>
          <w:iCs/>
          <w:sz w:val="24"/>
          <w:szCs w:val="24"/>
          <w:lang w:val="bg-BG"/>
        </w:rPr>
        <w:t>000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ru-RU"/>
        </w:rPr>
        <w:t xml:space="preserve"> </w:t>
      </w:r>
    </w:p>
    <w:p w14:paraId="019FA204" w14:textId="77777777" w:rsidR="006F5B92" w:rsidRPr="00E81A6E" w:rsidRDefault="006F5B92" w:rsidP="00350B12">
      <w:pPr>
        <w:pStyle w:val="ListParagraph"/>
        <w:numPr>
          <w:ilvl w:val="0"/>
          <w:numId w:val="3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за почистване на междублокови пространства</w:t>
      </w:r>
      <w:r w:rsidR="00B26384" w:rsidRPr="00E81A6E">
        <w:rPr>
          <w:rFonts w:ascii="Times New Roman" w:hAnsi="Times New Roman" w:cs="Times New Roman"/>
          <w:i/>
          <w:iCs/>
          <w:sz w:val="24"/>
          <w:szCs w:val="24"/>
          <w:lang w:val="ru-RU"/>
        </w:rPr>
        <w:t xml:space="preserve"> </w:t>
      </w:r>
      <w:r w:rsidRPr="00E81A6E">
        <w:rPr>
          <w:rFonts w:ascii="Times New Roman" w:hAnsi="Times New Roman" w:cs="Times New Roman"/>
          <w:i/>
          <w:iCs/>
          <w:sz w:val="24"/>
          <w:szCs w:val="24"/>
          <w:lang w:val="bg-BG"/>
        </w:rPr>
        <w:t>8</w:t>
      </w:r>
      <w:r w:rsidRPr="00E81A6E">
        <w:rPr>
          <w:rFonts w:ascii="Times New Roman" w:hAnsi="Times New Roman" w:cs="Times New Roman"/>
          <w:i/>
          <w:iCs/>
          <w:sz w:val="24"/>
          <w:szCs w:val="24"/>
          <w:lang w:val="ru-RU"/>
        </w:rPr>
        <w:t>,</w:t>
      </w:r>
      <w:r w:rsidR="00CA40E3" w:rsidRPr="00E81A6E">
        <w:rPr>
          <w:rFonts w:ascii="Times New Roman" w:hAnsi="Times New Roman" w:cs="Times New Roman"/>
          <w:i/>
          <w:iCs/>
          <w:sz w:val="24"/>
          <w:szCs w:val="24"/>
          <w:lang w:val="ru-RU"/>
        </w:rPr>
        <w:t>8</w:t>
      </w:r>
      <w:r w:rsidRPr="00E81A6E">
        <w:rPr>
          <w:rFonts w:ascii="Times New Roman" w:hAnsi="Times New Roman" w:cs="Times New Roman"/>
          <w:i/>
          <w:iCs/>
          <w:sz w:val="24"/>
          <w:szCs w:val="24"/>
          <w:lang w:val="ru-RU"/>
        </w:rPr>
        <w:t>00,000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64172979" w14:textId="77777777" w:rsidR="006F5B92" w:rsidRPr="00E81A6E" w:rsidRDefault="006F5B92" w:rsidP="00350B12">
      <w:pPr>
        <w:pStyle w:val="ListParagraph"/>
        <w:numPr>
          <w:ilvl w:val="0"/>
          <w:numId w:val="31"/>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Заплати, осигурителни вноски и издръжка на “Столичен инспекторат” </w:t>
      </w:r>
      <w:r w:rsidR="00757144" w:rsidRPr="00E81A6E">
        <w:rPr>
          <w:rFonts w:ascii="Times New Roman" w:hAnsi="Times New Roman" w:cs="Times New Roman"/>
          <w:i/>
          <w:iCs/>
          <w:sz w:val="24"/>
          <w:szCs w:val="24"/>
          <w:lang w:val="ru-RU"/>
        </w:rPr>
        <w:t>10</w:t>
      </w:r>
      <w:r w:rsidRPr="00E81A6E">
        <w:rPr>
          <w:rFonts w:ascii="Times New Roman" w:hAnsi="Times New Roman" w:cs="Times New Roman"/>
          <w:i/>
          <w:iCs/>
          <w:sz w:val="24"/>
          <w:szCs w:val="24"/>
          <w:lang w:val="ru-RU"/>
        </w:rPr>
        <w:t>,</w:t>
      </w:r>
      <w:r w:rsidR="00757144" w:rsidRPr="00E81A6E">
        <w:rPr>
          <w:rFonts w:ascii="Times New Roman" w:hAnsi="Times New Roman" w:cs="Times New Roman"/>
          <w:i/>
          <w:iCs/>
          <w:sz w:val="24"/>
          <w:szCs w:val="24"/>
          <w:lang w:val="ru-RU"/>
        </w:rPr>
        <w:t>415</w:t>
      </w:r>
      <w:r w:rsidRPr="00E81A6E">
        <w:rPr>
          <w:rFonts w:ascii="Times New Roman" w:hAnsi="Times New Roman" w:cs="Times New Roman"/>
          <w:i/>
          <w:iCs/>
          <w:sz w:val="24"/>
          <w:szCs w:val="24"/>
          <w:lang w:val="ru-RU"/>
        </w:rPr>
        <w:t>,</w:t>
      </w:r>
      <w:r w:rsidR="00757144" w:rsidRPr="00E81A6E">
        <w:rPr>
          <w:rFonts w:ascii="Times New Roman" w:hAnsi="Times New Roman" w:cs="Times New Roman"/>
          <w:i/>
          <w:iCs/>
          <w:sz w:val="24"/>
          <w:szCs w:val="24"/>
          <w:lang w:val="ru-RU"/>
        </w:rPr>
        <w:t>029</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679F05B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ru-RU"/>
        </w:rPr>
        <w:t>Дейност 621 „Управление, контрол и регулиране на дейностите по опазване на околната среда”</w:t>
      </w: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bg-BG"/>
        </w:rPr>
        <w:t>като текущи разходи са разчетени</w:t>
      </w:r>
      <w:r w:rsidRPr="00E81A6E">
        <w:rPr>
          <w:rFonts w:ascii="Times New Roman" w:hAnsi="Times New Roman" w:cs="Times New Roman"/>
          <w:sz w:val="24"/>
          <w:szCs w:val="24"/>
          <w:lang w:val="ru-RU"/>
        </w:rPr>
        <w:t xml:space="preserve"> </w:t>
      </w:r>
      <w:r w:rsidR="007F118A" w:rsidRPr="00E81A6E">
        <w:rPr>
          <w:rFonts w:ascii="Times New Roman" w:hAnsi="Times New Roman" w:cs="Times New Roman"/>
          <w:sz w:val="24"/>
          <w:szCs w:val="24"/>
          <w:lang w:val="ru-RU"/>
        </w:rPr>
        <w:t>3</w:t>
      </w:r>
      <w:r w:rsidRPr="00E81A6E">
        <w:rPr>
          <w:rFonts w:ascii="Times New Roman" w:hAnsi="Times New Roman" w:cs="Times New Roman"/>
          <w:sz w:val="24"/>
          <w:szCs w:val="24"/>
          <w:lang w:val="ru-RU"/>
        </w:rPr>
        <w:t>,</w:t>
      </w:r>
      <w:r w:rsidR="00757144" w:rsidRPr="00E81A6E">
        <w:rPr>
          <w:rFonts w:ascii="Times New Roman" w:hAnsi="Times New Roman" w:cs="Times New Roman"/>
          <w:sz w:val="24"/>
          <w:szCs w:val="24"/>
          <w:lang w:val="ru-RU"/>
        </w:rPr>
        <w:t>752</w:t>
      </w:r>
      <w:r w:rsidRPr="00E81A6E">
        <w:rPr>
          <w:rFonts w:ascii="Times New Roman" w:hAnsi="Times New Roman" w:cs="Times New Roman"/>
          <w:sz w:val="24"/>
          <w:szCs w:val="24"/>
          <w:lang w:val="bg-BG"/>
        </w:rPr>
        <w:t>,</w:t>
      </w:r>
      <w:r w:rsidR="00757144" w:rsidRPr="00E81A6E">
        <w:rPr>
          <w:rFonts w:ascii="Times New Roman" w:hAnsi="Times New Roman" w:cs="Times New Roman"/>
          <w:sz w:val="24"/>
          <w:szCs w:val="24"/>
          <w:lang w:val="bg-BG"/>
        </w:rPr>
        <w:t>547</w:t>
      </w:r>
      <w:r w:rsidR="008E5645" w:rsidRPr="00E81A6E">
        <w:rPr>
          <w:rFonts w:ascii="Times New Roman" w:hAnsi="Times New Roman" w:cs="Times New Roman"/>
          <w:sz w:val="24"/>
          <w:szCs w:val="24"/>
          <w:lang w:val="bg-BG"/>
        </w:rPr>
        <w:t xml:space="preserve"> лв.</w:t>
      </w:r>
    </w:p>
    <w:p w14:paraId="5AABEF7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Предвидени са средства за осъществяване дейности от дирекции „Околна среда“, „Управление на отпадъците“ и „Климат, енергия и въздух“. </w:t>
      </w:r>
    </w:p>
    <w:p w14:paraId="110F615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Дейност 627 „Управление на дейностите по отпадъците”</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третиране на битови отпадъци, в т.ч.: ОП „СПТО“, термично оползотворяване, транспорт; депониране, мониторинг и следексплоатационни разходи Суходол и Долни Богров; отчисления по закона за управление на отпадъците - такси</w:t>
      </w:r>
      <w:r w:rsidRPr="00E81A6E">
        <w:rPr>
          <w:rFonts w:ascii="Times New Roman" w:hAnsi="Times New Roman" w:cs="Times New Roman"/>
          <w:sz w:val="24"/>
          <w:szCs w:val="24"/>
          <w:lang w:val="ru-RU"/>
        </w:rPr>
        <w:t xml:space="preserve">/ </w:t>
      </w:r>
      <w:r w:rsidRPr="00E81A6E">
        <w:rPr>
          <w:rFonts w:ascii="Times New Roman" w:hAnsi="Times New Roman" w:cs="Times New Roman"/>
          <w:b/>
          <w:bCs/>
          <w:sz w:val="24"/>
          <w:szCs w:val="24"/>
          <w:lang w:val="ru-RU"/>
        </w:rPr>
        <w:t>4</w:t>
      </w:r>
      <w:r w:rsidR="00757144" w:rsidRPr="00E81A6E">
        <w:rPr>
          <w:rFonts w:ascii="Times New Roman" w:hAnsi="Times New Roman" w:cs="Times New Roman"/>
          <w:b/>
          <w:bCs/>
          <w:sz w:val="24"/>
          <w:szCs w:val="24"/>
          <w:lang w:val="ru-RU"/>
        </w:rPr>
        <w:t>2</w:t>
      </w:r>
      <w:r w:rsidRPr="00E81A6E">
        <w:rPr>
          <w:rFonts w:ascii="Times New Roman" w:hAnsi="Times New Roman" w:cs="Times New Roman"/>
          <w:b/>
          <w:bCs/>
          <w:sz w:val="24"/>
          <w:szCs w:val="24"/>
          <w:lang w:val="bg-BG"/>
        </w:rPr>
        <w:t>,</w:t>
      </w:r>
      <w:r w:rsidR="00757144" w:rsidRPr="00E81A6E">
        <w:rPr>
          <w:rFonts w:ascii="Times New Roman" w:hAnsi="Times New Roman" w:cs="Times New Roman"/>
          <w:b/>
          <w:bCs/>
          <w:sz w:val="24"/>
          <w:szCs w:val="24"/>
          <w:lang w:val="bg-BG"/>
        </w:rPr>
        <w:t>413</w:t>
      </w:r>
      <w:r w:rsidRPr="00E81A6E">
        <w:rPr>
          <w:rFonts w:ascii="Times New Roman" w:hAnsi="Times New Roman" w:cs="Times New Roman"/>
          <w:b/>
          <w:bCs/>
          <w:sz w:val="24"/>
          <w:szCs w:val="24"/>
          <w:lang w:val="bg-BG"/>
        </w:rPr>
        <w:t>,</w:t>
      </w:r>
      <w:r w:rsidR="00757144" w:rsidRPr="00E81A6E">
        <w:rPr>
          <w:rFonts w:ascii="Times New Roman" w:hAnsi="Times New Roman" w:cs="Times New Roman"/>
          <w:b/>
          <w:bCs/>
          <w:sz w:val="24"/>
          <w:szCs w:val="24"/>
          <w:lang w:val="bg-BG"/>
        </w:rPr>
        <w:t>150</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ru-RU"/>
        </w:rPr>
        <w:t>текущи разходи, в т. ч. средства</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за отчисления по чл. 60 и чл. 64 от Закона за управление на отпадъците, които се дължат от общините за всеки тон </w:t>
      </w:r>
      <w:r w:rsidRPr="00E81A6E">
        <w:rPr>
          <w:rFonts w:ascii="Times New Roman" w:hAnsi="Times New Roman" w:cs="Times New Roman"/>
          <w:sz w:val="24"/>
          <w:szCs w:val="24"/>
          <w:lang w:val="ru-RU"/>
        </w:rPr>
        <w:lastRenderedPageBreak/>
        <w:t xml:space="preserve">депониран отпадък на депата, изброени в чл.2 на ПМС № 207/ 2010г. в размер на </w:t>
      </w:r>
      <w:r w:rsidR="00757144"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902C7E" w:rsidRPr="00E81A6E">
        <w:rPr>
          <w:rFonts w:ascii="Times New Roman" w:hAnsi="Times New Roman" w:cs="Times New Roman"/>
          <w:sz w:val="24"/>
          <w:szCs w:val="24"/>
          <w:lang w:val="ru-RU"/>
        </w:rPr>
        <w:t>4</w:t>
      </w:r>
      <w:r w:rsidR="00757144" w:rsidRPr="00E81A6E">
        <w:rPr>
          <w:rFonts w:ascii="Times New Roman" w:hAnsi="Times New Roman" w:cs="Times New Roman"/>
          <w:sz w:val="24"/>
          <w:szCs w:val="24"/>
          <w:lang w:val="ru-RU"/>
        </w:rPr>
        <w:t>56</w:t>
      </w:r>
      <w:r w:rsidRPr="00E81A6E">
        <w:rPr>
          <w:rFonts w:ascii="Times New Roman" w:hAnsi="Times New Roman" w:cs="Times New Roman"/>
          <w:sz w:val="24"/>
          <w:szCs w:val="24"/>
          <w:lang w:val="ru-RU"/>
        </w:rPr>
        <w:t>,</w:t>
      </w:r>
      <w:r w:rsidR="00757144" w:rsidRPr="00E81A6E">
        <w:rPr>
          <w:rFonts w:ascii="Times New Roman" w:hAnsi="Times New Roman" w:cs="Times New Roman"/>
          <w:sz w:val="24"/>
          <w:szCs w:val="24"/>
          <w:lang w:val="ru-RU"/>
        </w:rPr>
        <w:t>6</w:t>
      </w:r>
      <w:r w:rsidR="00902C7E" w:rsidRPr="00E81A6E">
        <w:rPr>
          <w:rFonts w:ascii="Times New Roman" w:hAnsi="Times New Roman" w:cs="Times New Roman"/>
          <w:sz w:val="24"/>
          <w:szCs w:val="24"/>
          <w:lang w:val="ru-RU"/>
        </w:rPr>
        <w:t>50</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С постановлението се регламентира превеждането и отчитането на тези средства.</w:t>
      </w:r>
    </w:p>
    <w:p w14:paraId="1616BCD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 xml:space="preserve">Дейност 622 “Озеленяване” </w:t>
      </w:r>
      <w:r w:rsidRPr="00E81A6E">
        <w:rPr>
          <w:rFonts w:ascii="Times New Roman" w:hAnsi="Times New Roman" w:cs="Times New Roman"/>
          <w:b/>
          <w:bCs/>
          <w:sz w:val="24"/>
          <w:szCs w:val="24"/>
          <w:lang w:val="bg-BG"/>
        </w:rPr>
        <w:t>28,</w:t>
      </w:r>
      <w:r w:rsidR="00757144" w:rsidRPr="00E81A6E">
        <w:rPr>
          <w:rFonts w:ascii="Times New Roman" w:hAnsi="Times New Roman" w:cs="Times New Roman"/>
          <w:b/>
          <w:bCs/>
          <w:sz w:val="24"/>
          <w:szCs w:val="24"/>
          <w:lang w:val="bg-BG"/>
        </w:rPr>
        <w:t>513</w:t>
      </w:r>
      <w:r w:rsidRPr="00E81A6E">
        <w:rPr>
          <w:rFonts w:ascii="Times New Roman" w:hAnsi="Times New Roman" w:cs="Times New Roman"/>
          <w:b/>
          <w:bCs/>
          <w:sz w:val="24"/>
          <w:szCs w:val="24"/>
          <w:lang w:val="bg-BG"/>
        </w:rPr>
        <w:t>,</w:t>
      </w:r>
      <w:r w:rsidR="00757144" w:rsidRPr="00E81A6E">
        <w:rPr>
          <w:rFonts w:ascii="Times New Roman" w:hAnsi="Times New Roman" w:cs="Times New Roman"/>
          <w:b/>
          <w:bCs/>
          <w:sz w:val="24"/>
          <w:szCs w:val="24"/>
          <w:lang w:val="bg-BG"/>
        </w:rPr>
        <w:t>1</w:t>
      </w:r>
      <w:r w:rsidR="00394004" w:rsidRPr="00E81A6E">
        <w:rPr>
          <w:rFonts w:ascii="Times New Roman" w:hAnsi="Times New Roman" w:cs="Times New Roman"/>
          <w:b/>
          <w:bCs/>
          <w:sz w:val="24"/>
          <w:szCs w:val="24"/>
          <w:lang w:val="bg-BG"/>
        </w:rPr>
        <w:t>1</w:t>
      </w:r>
      <w:r w:rsidR="00902C7E" w:rsidRPr="00E81A6E">
        <w:rPr>
          <w:rFonts w:ascii="Times New Roman" w:hAnsi="Times New Roman" w:cs="Times New Roman"/>
          <w:b/>
          <w:bCs/>
          <w:sz w:val="24"/>
          <w:szCs w:val="24"/>
          <w:lang w:val="bg-BG"/>
        </w:rPr>
        <w:t>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-т</w:t>
      </w:r>
      <w:r w:rsidRPr="00E81A6E">
        <w:rPr>
          <w:rFonts w:ascii="Times New Roman" w:hAnsi="Times New Roman" w:cs="Times New Roman"/>
          <w:sz w:val="24"/>
          <w:szCs w:val="24"/>
          <w:lang w:val="ru-RU"/>
        </w:rPr>
        <w:t>екущи разходи</w:t>
      </w:r>
      <w:r w:rsidRPr="00E81A6E">
        <w:rPr>
          <w:rFonts w:ascii="Times New Roman" w:hAnsi="Times New Roman" w:cs="Times New Roman"/>
          <w:sz w:val="24"/>
          <w:szCs w:val="24"/>
          <w:lang w:val="bg-BG"/>
        </w:rPr>
        <w:t>, в</w:t>
      </w:r>
      <w:r w:rsidRPr="00E81A6E">
        <w:rPr>
          <w:rFonts w:ascii="Times New Roman" w:hAnsi="Times New Roman" w:cs="Times New Roman"/>
          <w:sz w:val="24"/>
          <w:szCs w:val="24"/>
          <w:lang w:val="ru-RU"/>
        </w:rPr>
        <w:t xml:space="preserve"> това число за почистване на паркове, градини и зелени площи</w:t>
      </w:r>
      <w:r w:rsidR="00B26384"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13</w:t>
      </w:r>
      <w:r w:rsidRPr="00E81A6E">
        <w:rPr>
          <w:rFonts w:ascii="Times New Roman" w:hAnsi="Times New Roman" w:cs="Times New Roman"/>
          <w:sz w:val="24"/>
          <w:szCs w:val="24"/>
          <w:lang w:val="ru-RU"/>
        </w:rPr>
        <w:t>,</w:t>
      </w:r>
      <w:r w:rsidR="00757144" w:rsidRPr="00E81A6E">
        <w:rPr>
          <w:rFonts w:ascii="Times New Roman" w:hAnsi="Times New Roman" w:cs="Times New Roman"/>
          <w:sz w:val="24"/>
          <w:szCs w:val="24"/>
          <w:lang w:val="ru-RU"/>
        </w:rPr>
        <w:t>5</w:t>
      </w:r>
      <w:r w:rsidRPr="00E81A6E">
        <w:rPr>
          <w:rFonts w:ascii="Times New Roman" w:hAnsi="Times New Roman" w:cs="Times New Roman"/>
          <w:sz w:val="24"/>
          <w:szCs w:val="24"/>
          <w:lang w:val="ru-RU"/>
        </w:rPr>
        <w:t>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01569930"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В тази дейност се отнасят средствата за поддръжката на паркове и градини, охрана на парковете и издръжката на ОбП “Паркове и градини”. </w:t>
      </w:r>
    </w:p>
    <w:p w14:paraId="723F7231"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В рамките на разчетените средства се предвиждат 550,000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програма „Зелена София”</w:t>
      </w:r>
      <w:r w:rsidRPr="00E81A6E">
        <w:rPr>
          <w:rFonts w:ascii="Times New Roman" w:hAnsi="Times New Roman" w:cs="Times New Roman"/>
          <w:sz w:val="24"/>
          <w:szCs w:val="24"/>
          <w:lang w:val="bg-BG"/>
        </w:rPr>
        <w:t>.</w:t>
      </w:r>
    </w:p>
    <w:p w14:paraId="070CC501" w14:textId="77777777" w:rsidR="00EC3591" w:rsidRPr="00E81A6E" w:rsidRDefault="00EC3591"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 рамките на бюджета за озеленяване</w:t>
      </w:r>
      <w:r w:rsidR="00DE6BB7"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bg-BG"/>
        </w:rPr>
        <w:t xml:space="preserve">и на </w:t>
      </w:r>
      <w:r w:rsidR="00A13678" w:rsidRPr="00E81A6E">
        <w:rPr>
          <w:rFonts w:ascii="Times New Roman" w:hAnsi="Times New Roman" w:cs="Times New Roman"/>
          <w:sz w:val="24"/>
          <w:szCs w:val="24"/>
          <w:lang w:val="bg-BG"/>
        </w:rPr>
        <w:t xml:space="preserve">бюджета на </w:t>
      </w:r>
      <w:r w:rsidRPr="00E81A6E">
        <w:rPr>
          <w:rFonts w:ascii="Times New Roman" w:hAnsi="Times New Roman" w:cs="Times New Roman"/>
          <w:sz w:val="24"/>
          <w:szCs w:val="24"/>
          <w:lang w:val="bg-BG"/>
        </w:rPr>
        <w:t>строителния ресор за текущ ремонт на инфраструктура, се предвиждат 1,000,000лв.</w:t>
      </w:r>
      <w:r w:rsidR="001A33C1" w:rsidRPr="00E81A6E">
        <w:rPr>
          <w:rFonts w:ascii="Times New Roman" w:hAnsi="Times New Roman" w:cs="Times New Roman"/>
          <w:sz w:val="24"/>
          <w:szCs w:val="24"/>
          <w:lang w:val="bg-BG"/>
        </w:rPr>
        <w:t xml:space="preserve"> за облагородяване на т. нар. „кални точки“ по районите.</w:t>
      </w:r>
    </w:p>
    <w:p w14:paraId="0FEE787B"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 xml:space="preserve">Дейност 601 “Групи за ликвидиране на незаконно строителство” </w:t>
      </w:r>
      <w:r w:rsidR="00D13475" w:rsidRPr="00E81A6E">
        <w:rPr>
          <w:rFonts w:ascii="Times New Roman" w:hAnsi="Times New Roman" w:cs="Times New Roman"/>
          <w:b/>
          <w:bCs/>
          <w:sz w:val="24"/>
          <w:szCs w:val="24"/>
          <w:lang w:val="ru-RU"/>
        </w:rPr>
        <w:t>1</w:t>
      </w:r>
      <w:r w:rsidRPr="00E81A6E">
        <w:rPr>
          <w:rFonts w:ascii="Times New Roman" w:hAnsi="Times New Roman" w:cs="Times New Roman"/>
          <w:b/>
          <w:bCs/>
          <w:sz w:val="24"/>
          <w:szCs w:val="24"/>
          <w:lang w:val="bg-BG"/>
        </w:rPr>
        <w:t>,8</w:t>
      </w:r>
      <w:r w:rsidR="00757144" w:rsidRPr="00E81A6E">
        <w:rPr>
          <w:rFonts w:ascii="Times New Roman" w:hAnsi="Times New Roman" w:cs="Times New Roman"/>
          <w:b/>
          <w:bCs/>
          <w:sz w:val="24"/>
          <w:szCs w:val="24"/>
          <w:lang w:val="bg-BG"/>
        </w:rPr>
        <w:t>38</w:t>
      </w:r>
      <w:r w:rsidRPr="00E81A6E">
        <w:rPr>
          <w:rFonts w:ascii="Times New Roman" w:hAnsi="Times New Roman" w:cs="Times New Roman"/>
          <w:b/>
          <w:bCs/>
          <w:sz w:val="24"/>
          <w:szCs w:val="24"/>
          <w:lang w:val="ru-RU"/>
        </w:rPr>
        <w:t>,</w:t>
      </w:r>
      <w:r w:rsidR="00757144" w:rsidRPr="00E81A6E">
        <w:rPr>
          <w:rFonts w:ascii="Times New Roman" w:hAnsi="Times New Roman" w:cs="Times New Roman"/>
          <w:b/>
          <w:bCs/>
          <w:sz w:val="24"/>
          <w:szCs w:val="24"/>
          <w:lang w:val="ru-RU"/>
        </w:rPr>
        <w:t>548</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w:t>
      </w:r>
      <w:r w:rsidRPr="00E81A6E">
        <w:rPr>
          <w:rFonts w:ascii="Times New Roman" w:hAnsi="Times New Roman" w:cs="Times New Roman"/>
          <w:sz w:val="24"/>
          <w:szCs w:val="24"/>
          <w:lang w:val="ru-RU"/>
        </w:rPr>
        <w:t xml:space="preserve"> в това число издръжка </w:t>
      </w:r>
      <w:r w:rsidR="00D13475" w:rsidRPr="00E81A6E">
        <w:rPr>
          <w:rFonts w:ascii="Times New Roman" w:hAnsi="Times New Roman" w:cs="Times New Roman"/>
          <w:sz w:val="24"/>
          <w:szCs w:val="24"/>
          <w:lang w:val="ru-RU"/>
        </w:rPr>
        <w:t>1</w:t>
      </w:r>
      <w:r w:rsidRPr="00E81A6E">
        <w:rPr>
          <w:rFonts w:ascii="Times New Roman" w:hAnsi="Times New Roman" w:cs="Times New Roman"/>
          <w:sz w:val="24"/>
          <w:szCs w:val="24"/>
          <w:lang w:val="bg-BG"/>
        </w:rPr>
        <w:t>,</w:t>
      </w:r>
      <w:r w:rsidR="00757144" w:rsidRPr="00E81A6E">
        <w:rPr>
          <w:rFonts w:ascii="Times New Roman" w:hAnsi="Times New Roman" w:cs="Times New Roman"/>
          <w:sz w:val="24"/>
          <w:szCs w:val="24"/>
          <w:lang w:val="bg-BG"/>
        </w:rPr>
        <w:t>177</w:t>
      </w:r>
      <w:r w:rsidRPr="00E81A6E">
        <w:rPr>
          <w:rFonts w:ascii="Times New Roman" w:hAnsi="Times New Roman" w:cs="Times New Roman"/>
          <w:sz w:val="24"/>
          <w:szCs w:val="24"/>
          <w:lang w:val="ru-RU"/>
        </w:rPr>
        <w:t>,</w:t>
      </w:r>
      <w:r w:rsidR="00902C7E" w:rsidRPr="00E81A6E">
        <w:rPr>
          <w:rFonts w:ascii="Times New Roman" w:hAnsi="Times New Roman" w:cs="Times New Roman"/>
          <w:sz w:val="24"/>
          <w:szCs w:val="24"/>
          <w:lang w:val="ru-RU"/>
        </w:rPr>
        <w:t>9</w:t>
      </w:r>
      <w:r w:rsidR="00757144" w:rsidRPr="00E81A6E">
        <w:rPr>
          <w:rFonts w:ascii="Times New Roman" w:hAnsi="Times New Roman" w:cs="Times New Roman"/>
          <w:sz w:val="24"/>
          <w:szCs w:val="24"/>
          <w:lang w:val="ru-RU"/>
        </w:rPr>
        <w:t>38</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В рамките на издръжката са разчетени средства за събаряне на опасни сгради </w:t>
      </w:r>
      <w:r w:rsidR="00757144" w:rsidRPr="00E81A6E">
        <w:rPr>
          <w:rFonts w:ascii="Times New Roman" w:hAnsi="Times New Roman" w:cs="Times New Roman"/>
          <w:sz w:val="24"/>
          <w:szCs w:val="24"/>
          <w:lang w:val="ru-RU"/>
        </w:rPr>
        <w:t>911</w:t>
      </w:r>
      <w:r w:rsidRPr="00E81A6E">
        <w:rPr>
          <w:rFonts w:ascii="Times New Roman" w:hAnsi="Times New Roman" w:cs="Times New Roman"/>
          <w:sz w:val="24"/>
          <w:szCs w:val="24"/>
          <w:lang w:val="ru-RU"/>
        </w:rPr>
        <w:t>,</w:t>
      </w:r>
      <w:r w:rsidR="00757144" w:rsidRPr="00E81A6E">
        <w:rPr>
          <w:rFonts w:ascii="Times New Roman" w:hAnsi="Times New Roman" w:cs="Times New Roman"/>
          <w:sz w:val="24"/>
          <w:szCs w:val="24"/>
          <w:lang w:val="ru-RU"/>
        </w:rPr>
        <w:t>338</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преместваеми обекти и за демонтаж на рекламни съоръжения </w:t>
      </w:r>
      <w:r w:rsidRPr="00E81A6E">
        <w:rPr>
          <w:rFonts w:ascii="Times New Roman" w:hAnsi="Times New Roman" w:cs="Times New Roman"/>
          <w:sz w:val="24"/>
          <w:szCs w:val="24"/>
          <w:lang w:val="bg-BG"/>
        </w:rPr>
        <w:t>100</w:t>
      </w:r>
      <w:r w:rsidRPr="00E81A6E">
        <w:rPr>
          <w:rFonts w:ascii="Times New Roman" w:hAnsi="Times New Roman" w:cs="Times New Roman"/>
          <w:sz w:val="24"/>
          <w:szCs w:val="24"/>
          <w:lang w:val="ru-RU"/>
        </w:rPr>
        <w:t>,000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и </w:t>
      </w:r>
      <w:r w:rsidRPr="00E81A6E">
        <w:rPr>
          <w:rFonts w:ascii="Times New Roman" w:hAnsi="Times New Roman" w:cs="Times New Roman"/>
          <w:sz w:val="24"/>
          <w:szCs w:val="24"/>
          <w:lang w:val="bg-BG"/>
        </w:rPr>
        <w:t>100</w:t>
      </w:r>
      <w:r w:rsidRPr="00E81A6E">
        <w:rPr>
          <w:rFonts w:ascii="Times New Roman" w:hAnsi="Times New Roman" w:cs="Times New Roman"/>
          <w:sz w:val="24"/>
          <w:szCs w:val="24"/>
          <w:lang w:val="ru-RU"/>
        </w:rPr>
        <w:t>,000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разчистване на терени по предписание на ДНСК, съгл. Наредба № 13/2001г. на МРРБ. Разчетени са също заплати и издръжка на щатна численост по райони.</w:t>
      </w:r>
    </w:p>
    <w:p w14:paraId="4A90B43D"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За дейност 603 “Водоснабдяване и канализация”</w:t>
      </w:r>
      <w:r w:rsidRPr="00E81A6E">
        <w:rPr>
          <w:rFonts w:ascii="Times New Roman" w:hAnsi="Times New Roman" w:cs="Times New Roman"/>
          <w:sz w:val="24"/>
          <w:szCs w:val="24"/>
          <w:lang w:val="ru-RU"/>
        </w:rPr>
        <w:t xml:space="preserve"> </w:t>
      </w:r>
      <w:r w:rsidRPr="00E81A6E">
        <w:rPr>
          <w:rFonts w:ascii="Times New Roman" w:hAnsi="Times New Roman" w:cs="Times New Roman"/>
          <w:b/>
          <w:bCs/>
          <w:sz w:val="24"/>
          <w:szCs w:val="24"/>
          <w:lang w:val="bg-BG"/>
        </w:rPr>
        <w:t>3,</w:t>
      </w:r>
      <w:r w:rsidR="00837A4E" w:rsidRPr="00E81A6E">
        <w:rPr>
          <w:rFonts w:ascii="Times New Roman" w:hAnsi="Times New Roman" w:cs="Times New Roman"/>
          <w:b/>
          <w:bCs/>
          <w:sz w:val="24"/>
          <w:szCs w:val="24"/>
          <w:lang w:val="bg-BG"/>
        </w:rPr>
        <w:t>780</w:t>
      </w:r>
      <w:r w:rsidRPr="00E81A6E">
        <w:rPr>
          <w:rFonts w:ascii="Times New Roman" w:hAnsi="Times New Roman" w:cs="Times New Roman"/>
          <w:b/>
          <w:bCs/>
          <w:sz w:val="24"/>
          <w:szCs w:val="24"/>
          <w:lang w:val="bg-BG"/>
        </w:rPr>
        <w:t>,</w:t>
      </w:r>
      <w:r w:rsidR="00902C7E" w:rsidRPr="00E81A6E">
        <w:rPr>
          <w:rFonts w:ascii="Times New Roman" w:hAnsi="Times New Roman" w:cs="Times New Roman"/>
          <w:b/>
          <w:bCs/>
          <w:sz w:val="24"/>
          <w:szCs w:val="24"/>
          <w:lang w:val="bg-BG"/>
        </w:rPr>
        <w:t>5</w:t>
      </w:r>
      <w:r w:rsidRPr="00E81A6E">
        <w:rPr>
          <w:rFonts w:ascii="Times New Roman" w:hAnsi="Times New Roman" w:cs="Times New Roman"/>
          <w:b/>
          <w:bCs/>
          <w:sz w:val="24"/>
          <w:szCs w:val="24"/>
          <w:lang w:val="bg-BG"/>
        </w:rPr>
        <w:t>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b/>
          <w:bCs/>
          <w:sz w:val="24"/>
          <w:szCs w:val="24"/>
          <w:lang w:val="bg-BG"/>
        </w:rPr>
        <w:t>-</w:t>
      </w:r>
      <w:r w:rsidR="00B26384" w:rsidRPr="00E81A6E">
        <w:rPr>
          <w:rFonts w:ascii="Times New Roman" w:hAnsi="Times New Roman" w:cs="Times New Roman"/>
          <w:b/>
          <w:bCs/>
          <w:sz w:val="24"/>
          <w:szCs w:val="24"/>
          <w:lang w:val="bg-BG"/>
        </w:rPr>
        <w:t xml:space="preserve"> </w:t>
      </w:r>
      <w:r w:rsidRPr="00E81A6E">
        <w:rPr>
          <w:rFonts w:ascii="Times New Roman" w:hAnsi="Times New Roman" w:cs="Times New Roman"/>
          <w:sz w:val="24"/>
          <w:szCs w:val="24"/>
          <w:lang w:val="ru-RU"/>
        </w:rPr>
        <w:t>за текущи разходи. В това число за почистване корита на реки, мероприятия по сигурността на микроязовирите</w:t>
      </w:r>
      <w:r w:rsidRPr="00E81A6E">
        <w:rPr>
          <w:rFonts w:ascii="Times New Roman" w:hAnsi="Times New Roman" w:cs="Times New Roman"/>
          <w:sz w:val="24"/>
          <w:szCs w:val="24"/>
          <w:lang w:val="bg-BG"/>
        </w:rPr>
        <w:t xml:space="preserve"> 2,</w:t>
      </w:r>
      <w:r w:rsidR="00C30A9A" w:rsidRPr="00E81A6E">
        <w:rPr>
          <w:rFonts w:ascii="Times New Roman" w:hAnsi="Times New Roman" w:cs="Times New Roman"/>
          <w:sz w:val="24"/>
          <w:szCs w:val="24"/>
          <w:lang w:val="bg-BG"/>
        </w:rPr>
        <w:t>330</w:t>
      </w:r>
      <w:r w:rsidR="00445018" w:rsidRPr="00E81A6E">
        <w:rPr>
          <w:rFonts w:ascii="Times New Roman" w:hAnsi="Times New Roman" w:cs="Times New Roman"/>
          <w:sz w:val="24"/>
          <w:szCs w:val="24"/>
          <w:lang w:val="bg-BG"/>
        </w:rPr>
        <w:t>,500</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ремонт, поддръжка</w:t>
      </w:r>
      <w:r w:rsidR="00837A4E" w:rsidRPr="00E81A6E">
        <w:rPr>
          <w:rFonts w:ascii="Times New Roman" w:hAnsi="Times New Roman" w:cs="Times New Roman"/>
          <w:sz w:val="24"/>
          <w:szCs w:val="24"/>
          <w:lang w:val="ru-RU"/>
        </w:rPr>
        <w:t xml:space="preserve">, вода и ел. енергия на фонтани </w:t>
      </w:r>
      <w:r w:rsidRPr="00E81A6E">
        <w:rPr>
          <w:rFonts w:ascii="Times New Roman" w:hAnsi="Times New Roman" w:cs="Times New Roman"/>
          <w:sz w:val="24"/>
          <w:szCs w:val="24"/>
          <w:lang w:val="ru-RU"/>
        </w:rPr>
        <w:t>/в т.ч. помпи Зона Б-5/</w:t>
      </w:r>
      <w:r w:rsidR="00B26384" w:rsidRPr="00E81A6E">
        <w:rPr>
          <w:rFonts w:ascii="Times New Roman" w:hAnsi="Times New Roman" w:cs="Times New Roman"/>
          <w:sz w:val="24"/>
          <w:szCs w:val="24"/>
          <w:lang w:val="ru-RU"/>
        </w:rPr>
        <w:t xml:space="preserve"> </w:t>
      </w:r>
      <w:r w:rsidR="00837A4E" w:rsidRPr="00E81A6E">
        <w:rPr>
          <w:rFonts w:ascii="Times New Roman" w:hAnsi="Times New Roman" w:cs="Times New Roman"/>
          <w:sz w:val="24"/>
          <w:szCs w:val="24"/>
          <w:lang w:val="ru-RU"/>
        </w:rPr>
        <w:t>830</w:t>
      </w:r>
      <w:r w:rsidR="00445018" w:rsidRPr="00E81A6E">
        <w:rPr>
          <w:rFonts w:ascii="Times New Roman" w:hAnsi="Times New Roman" w:cs="Times New Roman"/>
          <w:sz w:val="24"/>
          <w:szCs w:val="24"/>
          <w:lang w:val="ru-RU"/>
        </w:rPr>
        <w:t>,000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ел. енергия, вода и охрана на ПСОВ „Брезовица”</w:t>
      </w:r>
      <w:r w:rsidR="006C30F1" w:rsidRPr="00E81A6E">
        <w:rPr>
          <w:rFonts w:ascii="Times New Roman" w:hAnsi="Times New Roman" w:cs="Times New Roman"/>
          <w:sz w:val="24"/>
          <w:szCs w:val="24"/>
          <w:lang w:val="ru-RU"/>
        </w:rPr>
        <w:t xml:space="preserve"> </w:t>
      </w:r>
      <w:r w:rsidR="00C30A9A" w:rsidRPr="00E81A6E">
        <w:rPr>
          <w:rFonts w:ascii="Times New Roman" w:hAnsi="Times New Roman" w:cs="Times New Roman"/>
          <w:sz w:val="24"/>
          <w:szCs w:val="24"/>
          <w:lang w:val="ru-RU"/>
        </w:rPr>
        <w:t>78</w:t>
      </w:r>
      <w:r w:rsidR="006C30F1" w:rsidRPr="00E81A6E">
        <w:rPr>
          <w:rFonts w:ascii="Times New Roman" w:hAnsi="Times New Roman" w:cs="Times New Roman"/>
          <w:sz w:val="24"/>
          <w:szCs w:val="24"/>
          <w:lang w:val="ru-RU"/>
        </w:rPr>
        <w:t>,000</w:t>
      </w:r>
      <w:r w:rsidR="008E5645" w:rsidRPr="00E81A6E">
        <w:rPr>
          <w:rFonts w:ascii="Times New Roman" w:hAnsi="Times New Roman" w:cs="Times New Roman"/>
          <w:sz w:val="24"/>
          <w:szCs w:val="24"/>
          <w:lang w:val="ru-RU"/>
        </w:rPr>
        <w:t xml:space="preserve"> лв.</w:t>
      </w:r>
      <w:r w:rsidRPr="00E81A6E">
        <w:rPr>
          <w:rFonts w:ascii="Times New Roman" w:hAnsi="Times New Roman" w:cs="Times New Roman"/>
          <w:sz w:val="24"/>
          <w:szCs w:val="24"/>
          <w:lang w:val="ru-RU"/>
        </w:rPr>
        <w:t>, както и за районите, чиято канализация не се поддържа централизирано.</w:t>
      </w:r>
    </w:p>
    <w:p w14:paraId="2C5F72C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За дейност 604 “Осветление на улици и площади”</w:t>
      </w:r>
      <w:r w:rsidRPr="00E81A6E">
        <w:rPr>
          <w:rFonts w:ascii="Times New Roman" w:hAnsi="Times New Roman" w:cs="Times New Roman"/>
          <w:sz w:val="24"/>
          <w:szCs w:val="24"/>
          <w:lang w:val="ru-RU"/>
        </w:rPr>
        <w:t xml:space="preserve"> в т. ч. и пътна сигнализация, като текущи разходи са разчетени</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b/>
          <w:bCs/>
          <w:sz w:val="24"/>
          <w:szCs w:val="24"/>
          <w:lang w:val="bg-BG"/>
        </w:rPr>
        <w:t>1</w:t>
      </w:r>
      <w:r w:rsidR="00542F4B" w:rsidRPr="00E81A6E">
        <w:rPr>
          <w:rFonts w:ascii="Times New Roman" w:hAnsi="Times New Roman" w:cs="Times New Roman"/>
          <w:b/>
          <w:bCs/>
          <w:sz w:val="24"/>
          <w:szCs w:val="24"/>
          <w:lang w:val="bg-BG"/>
        </w:rPr>
        <w:t>9</w:t>
      </w:r>
      <w:r w:rsidRPr="00E81A6E">
        <w:rPr>
          <w:rFonts w:ascii="Times New Roman" w:hAnsi="Times New Roman" w:cs="Times New Roman"/>
          <w:b/>
          <w:bCs/>
          <w:sz w:val="24"/>
          <w:szCs w:val="24"/>
          <w:lang w:val="ru-RU"/>
        </w:rPr>
        <w:t>,</w:t>
      </w:r>
      <w:r w:rsidR="00542F4B" w:rsidRPr="00E81A6E">
        <w:rPr>
          <w:rFonts w:ascii="Times New Roman" w:hAnsi="Times New Roman" w:cs="Times New Roman"/>
          <w:b/>
          <w:bCs/>
          <w:sz w:val="24"/>
          <w:szCs w:val="24"/>
          <w:lang w:val="ru-RU"/>
        </w:rPr>
        <w:t>010</w:t>
      </w:r>
      <w:r w:rsidRPr="00E81A6E">
        <w:rPr>
          <w:rFonts w:ascii="Times New Roman" w:hAnsi="Times New Roman" w:cs="Times New Roman"/>
          <w:b/>
          <w:bCs/>
          <w:sz w:val="24"/>
          <w:szCs w:val="24"/>
          <w:lang w:val="ru-RU"/>
        </w:rPr>
        <w:t>,</w:t>
      </w:r>
      <w:r w:rsidR="00542F4B" w:rsidRPr="00E81A6E">
        <w:rPr>
          <w:rFonts w:ascii="Times New Roman" w:hAnsi="Times New Roman" w:cs="Times New Roman"/>
          <w:b/>
          <w:bCs/>
          <w:sz w:val="24"/>
          <w:szCs w:val="24"/>
          <w:lang w:val="ru-RU"/>
        </w:rPr>
        <w:t>5</w:t>
      </w:r>
      <w:r w:rsidRPr="00E81A6E">
        <w:rPr>
          <w:rFonts w:ascii="Times New Roman" w:hAnsi="Times New Roman" w:cs="Times New Roman"/>
          <w:b/>
          <w:bCs/>
          <w:sz w:val="24"/>
          <w:szCs w:val="24"/>
          <w:lang w:val="bg-BG"/>
        </w:rPr>
        <w:t>00</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b/>
          <w:bCs/>
          <w:sz w:val="24"/>
          <w:szCs w:val="24"/>
          <w:lang w:val="bg-BG"/>
        </w:rPr>
        <w:t>лв.</w:t>
      </w:r>
      <w:r w:rsidR="00B26384" w:rsidRPr="00E81A6E">
        <w:rPr>
          <w:rFonts w:ascii="Times New Roman" w:hAnsi="Times New Roman" w:cs="Times New Roman"/>
          <w:sz w:val="24"/>
          <w:szCs w:val="24"/>
          <w:lang w:val="ru-RU"/>
        </w:rPr>
        <w:t xml:space="preserve"> </w:t>
      </w:r>
    </w:p>
    <w:p w14:paraId="64C34EB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Текущите разходи са предназначени за поддръжка на уличното осветление и светофарните уредби, пътна маркировка, заплащане на електроенергия за дейността и други по текущата поддръжка.</w:t>
      </w:r>
    </w:p>
    <w:p w14:paraId="33AF2662"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b/>
          <w:bCs/>
          <w:sz w:val="24"/>
          <w:szCs w:val="24"/>
          <w:lang w:val="ru-RU"/>
        </w:rPr>
        <w:t>Дейност 605 “</w:t>
      </w:r>
      <w:r w:rsidR="00956994" w:rsidRPr="00E81A6E">
        <w:rPr>
          <w:rFonts w:ascii="Times New Roman" w:hAnsi="Times New Roman" w:cs="Times New Roman"/>
          <w:b/>
          <w:bCs/>
          <w:sz w:val="24"/>
          <w:szCs w:val="24"/>
          <w:lang w:val="ru-RU"/>
        </w:rPr>
        <w:t>Минерални води и бани</w:t>
      </w:r>
      <w:r w:rsidRPr="00E81A6E">
        <w:rPr>
          <w:rFonts w:ascii="Times New Roman" w:hAnsi="Times New Roman" w:cs="Times New Roman"/>
          <w:b/>
          <w:bCs/>
          <w:sz w:val="24"/>
          <w:szCs w:val="24"/>
          <w:lang w:val="ru-RU"/>
        </w:rPr>
        <w:t xml:space="preserve">” </w:t>
      </w:r>
      <w:r w:rsidR="00837A4E" w:rsidRPr="00E81A6E">
        <w:rPr>
          <w:rFonts w:ascii="Times New Roman" w:hAnsi="Times New Roman" w:cs="Times New Roman"/>
          <w:b/>
          <w:bCs/>
          <w:sz w:val="24"/>
          <w:szCs w:val="24"/>
          <w:lang w:val="ru-RU"/>
        </w:rPr>
        <w:t>358</w:t>
      </w:r>
      <w:r w:rsidRPr="00E81A6E">
        <w:rPr>
          <w:rFonts w:ascii="Times New Roman" w:hAnsi="Times New Roman" w:cs="Times New Roman"/>
          <w:b/>
          <w:bCs/>
          <w:sz w:val="24"/>
          <w:szCs w:val="24"/>
          <w:lang w:val="ru-RU"/>
        </w:rPr>
        <w:t>,</w:t>
      </w:r>
      <w:r w:rsidR="00A96BA4" w:rsidRPr="00E81A6E">
        <w:rPr>
          <w:rFonts w:ascii="Times New Roman" w:hAnsi="Times New Roman" w:cs="Times New Roman"/>
          <w:b/>
          <w:bCs/>
          <w:sz w:val="24"/>
          <w:szCs w:val="24"/>
          <w:lang w:val="ru-RU"/>
        </w:rPr>
        <w:t>983</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00837A4E" w:rsidRPr="00E81A6E">
        <w:rPr>
          <w:rFonts w:ascii="Times New Roman" w:hAnsi="Times New Roman" w:cs="Times New Roman"/>
          <w:b/>
          <w:bCs/>
          <w:sz w:val="24"/>
          <w:szCs w:val="24"/>
          <w:lang w:val="ru-RU"/>
        </w:rPr>
        <w:t xml:space="preserve">В дейността са отразени средствата за </w:t>
      </w:r>
      <w:r w:rsidR="00837A4E" w:rsidRPr="00E81A6E">
        <w:rPr>
          <w:rFonts w:ascii="Times New Roman" w:hAnsi="Times New Roman" w:cs="Times New Roman"/>
          <w:sz w:val="24"/>
          <w:szCs w:val="24"/>
          <w:lang w:val="ru-RU"/>
        </w:rPr>
        <w:t>ремонт, поддръжка, вода и ел. енергия на минералн</w:t>
      </w:r>
      <w:r w:rsidR="00980923" w:rsidRPr="00E81A6E">
        <w:rPr>
          <w:rFonts w:ascii="Times New Roman" w:hAnsi="Times New Roman" w:cs="Times New Roman"/>
          <w:sz w:val="24"/>
          <w:szCs w:val="24"/>
          <w:lang w:val="ru-RU"/>
        </w:rPr>
        <w:t>и извори 207,000 лв., издръжка н</w:t>
      </w:r>
      <w:r w:rsidR="00837A4E" w:rsidRPr="00E81A6E">
        <w:rPr>
          <w:rFonts w:ascii="Times New Roman" w:hAnsi="Times New Roman" w:cs="Times New Roman"/>
          <w:sz w:val="24"/>
          <w:szCs w:val="24"/>
          <w:lang w:val="ru-RU"/>
        </w:rPr>
        <w:t>а баня в район Нови Искър 21,983 лв. и средства за микробиологични изследвания на минерални извори 130,000 лв.</w:t>
      </w:r>
      <w:r w:rsidR="006020C3" w:rsidRPr="00E81A6E">
        <w:rPr>
          <w:rFonts w:ascii="Times New Roman" w:hAnsi="Times New Roman" w:cs="Times New Roman"/>
          <w:sz w:val="24"/>
          <w:szCs w:val="24"/>
          <w:lang w:val="ru-RU"/>
        </w:rPr>
        <w:t xml:space="preserve"> </w:t>
      </w:r>
      <w:r w:rsidR="00CA722F" w:rsidRPr="00E81A6E">
        <w:rPr>
          <w:rFonts w:ascii="Times New Roman" w:hAnsi="Times New Roman" w:cs="Times New Roman"/>
          <w:sz w:val="24"/>
          <w:szCs w:val="24"/>
          <w:lang w:val="ru-RU"/>
        </w:rPr>
        <w:t>Последните</w:t>
      </w:r>
      <w:r w:rsidR="006020C3" w:rsidRPr="00E81A6E">
        <w:rPr>
          <w:rFonts w:ascii="Times New Roman" w:hAnsi="Times New Roman" w:cs="Times New Roman"/>
          <w:sz w:val="24"/>
          <w:szCs w:val="24"/>
          <w:lang w:val="ru-RU"/>
        </w:rPr>
        <w:t xml:space="preserve"> се </w:t>
      </w:r>
      <w:r w:rsidR="00CA722F" w:rsidRPr="00E81A6E">
        <w:rPr>
          <w:rFonts w:ascii="Times New Roman" w:hAnsi="Times New Roman" w:cs="Times New Roman"/>
          <w:sz w:val="24"/>
          <w:szCs w:val="24"/>
          <w:lang w:val="ru-RU"/>
        </w:rPr>
        <w:t>възлагат</w:t>
      </w:r>
      <w:r w:rsidR="006020C3" w:rsidRPr="00E81A6E">
        <w:rPr>
          <w:rFonts w:ascii="Times New Roman" w:hAnsi="Times New Roman" w:cs="Times New Roman"/>
          <w:sz w:val="24"/>
          <w:szCs w:val="24"/>
          <w:lang w:val="ru-RU"/>
        </w:rPr>
        <w:t xml:space="preserve"> от Направление „Архитектура и градоустройство“.</w:t>
      </w:r>
    </w:p>
    <w:p w14:paraId="6160530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 xml:space="preserve">Дейност 606 “Изграждане, ремонт и поддържане на уличната мрежа” </w:t>
      </w:r>
      <w:r w:rsidRPr="00E81A6E">
        <w:rPr>
          <w:rFonts w:ascii="Times New Roman" w:hAnsi="Times New Roman" w:cs="Times New Roman"/>
          <w:sz w:val="24"/>
          <w:szCs w:val="24"/>
          <w:lang w:val="ru-RU"/>
        </w:rPr>
        <w:t>е дейност в бюджетната класификация, по която се разчитат и отчитат средствата за основен и текущ ремонт на уличната мрежа и поддръжката й. За 20</w:t>
      </w:r>
      <w:r w:rsidR="0044242B" w:rsidRPr="00E81A6E">
        <w:rPr>
          <w:rFonts w:ascii="Times New Roman" w:hAnsi="Times New Roman" w:cs="Times New Roman"/>
          <w:sz w:val="24"/>
          <w:szCs w:val="24"/>
          <w:lang w:val="ru-RU"/>
        </w:rPr>
        <w:t>2</w:t>
      </w:r>
      <w:r w:rsidR="00A96BA4"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г. за тази цел са предвидени </w:t>
      </w:r>
      <w:r w:rsidRPr="00E81A6E">
        <w:rPr>
          <w:rFonts w:ascii="Times New Roman" w:hAnsi="Times New Roman" w:cs="Times New Roman"/>
          <w:b/>
          <w:bCs/>
          <w:sz w:val="24"/>
          <w:szCs w:val="24"/>
          <w:lang w:val="ru-RU"/>
        </w:rPr>
        <w:t>текущи разходи</w:t>
      </w:r>
      <w:r w:rsidRPr="00E81A6E">
        <w:rPr>
          <w:rFonts w:ascii="Times New Roman" w:hAnsi="Times New Roman" w:cs="Times New Roman"/>
          <w:sz w:val="24"/>
          <w:szCs w:val="24"/>
          <w:lang w:val="ru-RU"/>
        </w:rPr>
        <w:t xml:space="preserve"> в размер на </w:t>
      </w:r>
      <w:r w:rsidR="00171848" w:rsidRPr="00E81A6E">
        <w:rPr>
          <w:rFonts w:ascii="Times New Roman" w:hAnsi="Times New Roman" w:cs="Times New Roman"/>
          <w:b/>
          <w:sz w:val="24"/>
          <w:szCs w:val="24"/>
          <w:lang w:val="ru-RU"/>
        </w:rPr>
        <w:t>50</w:t>
      </w:r>
      <w:r w:rsidRPr="00E81A6E">
        <w:rPr>
          <w:rFonts w:ascii="Times New Roman" w:hAnsi="Times New Roman" w:cs="Times New Roman"/>
          <w:b/>
          <w:bCs/>
          <w:sz w:val="24"/>
          <w:szCs w:val="24"/>
          <w:lang w:val="ru-RU"/>
        </w:rPr>
        <w:t>,</w:t>
      </w:r>
      <w:r w:rsidR="00171848" w:rsidRPr="00E81A6E">
        <w:rPr>
          <w:rFonts w:ascii="Times New Roman" w:hAnsi="Times New Roman" w:cs="Times New Roman"/>
          <w:b/>
          <w:bCs/>
          <w:sz w:val="24"/>
          <w:szCs w:val="24"/>
          <w:lang w:val="ru-RU"/>
        </w:rPr>
        <w:t>000</w:t>
      </w:r>
      <w:r w:rsidRPr="00E81A6E">
        <w:rPr>
          <w:rFonts w:ascii="Times New Roman" w:hAnsi="Times New Roman" w:cs="Times New Roman"/>
          <w:b/>
          <w:bCs/>
          <w:sz w:val="24"/>
          <w:szCs w:val="24"/>
          <w:lang w:val="ru-RU"/>
        </w:rPr>
        <w:t>,</w:t>
      </w:r>
      <w:r w:rsidR="00171848" w:rsidRPr="00E81A6E">
        <w:rPr>
          <w:rFonts w:ascii="Times New Roman" w:hAnsi="Times New Roman" w:cs="Times New Roman"/>
          <w:b/>
          <w:bCs/>
          <w:sz w:val="24"/>
          <w:szCs w:val="24"/>
          <w:lang w:val="ru-RU"/>
        </w:rPr>
        <w:t>000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00A96BA4" w:rsidRPr="00E81A6E">
        <w:rPr>
          <w:rFonts w:ascii="Times New Roman" w:hAnsi="Times New Roman" w:cs="Times New Roman"/>
          <w:sz w:val="24"/>
          <w:szCs w:val="24"/>
          <w:lang w:val="ru-RU"/>
        </w:rPr>
        <w:t>, в това число 4,000,000 лв. за пътна безопасност.</w:t>
      </w:r>
    </w:p>
    <w:p w14:paraId="475DC35A"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Дейност 619 “Други дейности БКС”</w:t>
      </w:r>
      <w:r w:rsidRPr="00E81A6E">
        <w:rPr>
          <w:rFonts w:ascii="Times New Roman" w:hAnsi="Times New Roman" w:cs="Times New Roman"/>
          <w:sz w:val="24"/>
          <w:szCs w:val="24"/>
          <w:lang w:val="ru-RU"/>
        </w:rPr>
        <w:t xml:space="preserve"> –за текущи разходи</w:t>
      </w:r>
      <w:r w:rsidR="00B26384" w:rsidRPr="00E81A6E">
        <w:rPr>
          <w:rFonts w:ascii="Times New Roman" w:hAnsi="Times New Roman" w:cs="Times New Roman"/>
          <w:sz w:val="24"/>
          <w:szCs w:val="24"/>
          <w:lang w:val="ru-RU"/>
        </w:rPr>
        <w:t xml:space="preserve"> </w:t>
      </w:r>
      <w:r w:rsidR="00171848" w:rsidRPr="00E81A6E">
        <w:rPr>
          <w:rFonts w:ascii="Times New Roman" w:hAnsi="Times New Roman" w:cs="Times New Roman"/>
          <w:b/>
          <w:sz w:val="24"/>
          <w:szCs w:val="24"/>
          <w:lang w:val="bg-BG"/>
        </w:rPr>
        <w:t>5</w:t>
      </w:r>
      <w:r w:rsidRPr="00E81A6E">
        <w:rPr>
          <w:rFonts w:ascii="Times New Roman" w:hAnsi="Times New Roman" w:cs="Times New Roman"/>
          <w:b/>
          <w:bCs/>
          <w:sz w:val="24"/>
          <w:szCs w:val="24"/>
          <w:lang w:val="ru-RU"/>
        </w:rPr>
        <w:t>,</w:t>
      </w:r>
      <w:r w:rsidR="00A96BA4" w:rsidRPr="00E81A6E">
        <w:rPr>
          <w:rFonts w:ascii="Times New Roman" w:hAnsi="Times New Roman" w:cs="Times New Roman"/>
          <w:b/>
          <w:bCs/>
          <w:sz w:val="24"/>
          <w:szCs w:val="24"/>
          <w:lang w:val="ru-RU"/>
        </w:rPr>
        <w:t>611</w:t>
      </w:r>
      <w:r w:rsidRPr="00E81A6E">
        <w:rPr>
          <w:rFonts w:ascii="Times New Roman" w:hAnsi="Times New Roman" w:cs="Times New Roman"/>
          <w:b/>
          <w:bCs/>
          <w:sz w:val="24"/>
          <w:szCs w:val="24"/>
          <w:lang w:val="ru-RU"/>
        </w:rPr>
        <w:t>,</w:t>
      </w:r>
      <w:r w:rsidR="00A96BA4" w:rsidRPr="00E81A6E">
        <w:rPr>
          <w:rFonts w:ascii="Times New Roman" w:hAnsi="Times New Roman" w:cs="Times New Roman"/>
          <w:b/>
          <w:bCs/>
          <w:sz w:val="24"/>
          <w:szCs w:val="24"/>
          <w:lang w:val="ru-RU"/>
        </w:rPr>
        <w:t>831</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p>
    <w:p w14:paraId="731C3A0B"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Тук се отнасят разходите:</w:t>
      </w:r>
    </w:p>
    <w:p w14:paraId="1CEBBCD9" w14:textId="77777777" w:rsidR="006F5B92" w:rsidRPr="00E81A6E" w:rsidRDefault="006F5B92" w:rsidP="00350B12">
      <w:pPr>
        <w:pStyle w:val="ListParagraph"/>
        <w:numPr>
          <w:ilvl w:val="0"/>
          <w:numId w:val="3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текущ ремонт на общите части на общински жилища </w:t>
      </w:r>
      <w:r w:rsidR="00A96BA4" w:rsidRPr="00E81A6E">
        <w:rPr>
          <w:rFonts w:ascii="Times New Roman" w:hAnsi="Times New Roman" w:cs="Times New Roman"/>
          <w:i/>
          <w:iCs/>
          <w:sz w:val="24"/>
          <w:szCs w:val="24"/>
          <w:lang w:val="ru-RU"/>
        </w:rPr>
        <w:t>80</w:t>
      </w:r>
      <w:r w:rsidRPr="00E81A6E">
        <w:rPr>
          <w:rFonts w:ascii="Times New Roman" w:hAnsi="Times New Roman" w:cs="Times New Roman"/>
          <w:i/>
          <w:iCs/>
          <w:sz w:val="24"/>
          <w:szCs w:val="24"/>
          <w:lang w:val="ru-RU"/>
        </w:rPr>
        <w:t>,000</w:t>
      </w:r>
      <w:r w:rsidR="008E5645" w:rsidRPr="00E81A6E">
        <w:rPr>
          <w:rFonts w:ascii="Times New Roman" w:hAnsi="Times New Roman" w:cs="Times New Roman"/>
          <w:i/>
          <w:iCs/>
          <w:sz w:val="24"/>
          <w:szCs w:val="24"/>
          <w:lang w:val="ru-RU"/>
        </w:rPr>
        <w:t xml:space="preserve"> лв.</w:t>
      </w:r>
    </w:p>
    <w:p w14:paraId="1AB88642" w14:textId="3EB15832" w:rsidR="006F5B92" w:rsidRPr="00E81A6E" w:rsidRDefault="006F5B92" w:rsidP="00350B12">
      <w:pPr>
        <w:pStyle w:val="ListParagraph"/>
        <w:numPr>
          <w:ilvl w:val="0"/>
          <w:numId w:val="3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поддръжка на </w:t>
      </w:r>
      <w:r w:rsidR="00D73469">
        <w:rPr>
          <w:rFonts w:ascii="Times New Roman" w:hAnsi="Times New Roman" w:cs="Times New Roman"/>
          <w:i/>
          <w:iCs/>
          <w:sz w:val="24"/>
          <w:szCs w:val="24"/>
          <w:lang w:val="ru-RU"/>
        </w:rPr>
        <w:t xml:space="preserve">подлези - </w:t>
      </w:r>
      <w:r w:rsidRPr="00E81A6E">
        <w:rPr>
          <w:rFonts w:ascii="Times New Roman" w:hAnsi="Times New Roman" w:cs="Times New Roman"/>
          <w:i/>
          <w:iCs/>
          <w:sz w:val="24"/>
          <w:szCs w:val="24"/>
          <w:lang w:val="ru-RU"/>
        </w:rPr>
        <w:t xml:space="preserve">предгаров площад и подлез „Орлов мост” </w:t>
      </w:r>
      <w:r w:rsidR="0086151F" w:rsidRPr="00E81A6E">
        <w:rPr>
          <w:rFonts w:ascii="Times New Roman" w:hAnsi="Times New Roman" w:cs="Times New Roman"/>
          <w:i/>
          <w:iCs/>
          <w:sz w:val="24"/>
          <w:szCs w:val="24"/>
          <w:lang w:val="ru-RU"/>
        </w:rPr>
        <w:t>7</w:t>
      </w:r>
      <w:r w:rsidR="00EA098F" w:rsidRPr="00E81A6E">
        <w:rPr>
          <w:rFonts w:ascii="Times New Roman" w:hAnsi="Times New Roman" w:cs="Times New Roman"/>
          <w:i/>
          <w:iCs/>
          <w:sz w:val="24"/>
          <w:szCs w:val="24"/>
          <w:lang w:val="ru-RU"/>
        </w:rPr>
        <w:t>1,300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ru-RU"/>
        </w:rPr>
        <w:t>,</w:t>
      </w:r>
    </w:p>
    <w:p w14:paraId="34035902" w14:textId="77777777" w:rsidR="006F5B92" w:rsidRPr="00E81A6E" w:rsidRDefault="006F5B92" w:rsidP="00350B12">
      <w:pPr>
        <w:pStyle w:val="ListParagraph"/>
        <w:numPr>
          <w:ilvl w:val="0"/>
          <w:numId w:val="3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поддръжка и ремонт на гробищни паркове </w:t>
      </w:r>
      <w:r w:rsidRPr="00E81A6E">
        <w:rPr>
          <w:rFonts w:ascii="Times New Roman" w:hAnsi="Times New Roman" w:cs="Times New Roman"/>
          <w:i/>
          <w:iCs/>
          <w:sz w:val="24"/>
          <w:szCs w:val="24"/>
          <w:lang w:val="bg-BG"/>
        </w:rPr>
        <w:t>2</w:t>
      </w:r>
      <w:r w:rsidR="0086151F" w:rsidRPr="00E81A6E">
        <w:rPr>
          <w:rFonts w:ascii="Times New Roman" w:hAnsi="Times New Roman" w:cs="Times New Roman"/>
          <w:i/>
          <w:iCs/>
          <w:sz w:val="24"/>
          <w:szCs w:val="24"/>
          <w:lang w:val="bg-BG"/>
        </w:rPr>
        <w:t>3</w:t>
      </w:r>
      <w:r w:rsidRPr="00E81A6E">
        <w:rPr>
          <w:rFonts w:ascii="Times New Roman" w:hAnsi="Times New Roman" w:cs="Times New Roman"/>
          <w:i/>
          <w:iCs/>
          <w:sz w:val="24"/>
          <w:szCs w:val="24"/>
          <w:lang w:val="bg-BG"/>
        </w:rPr>
        <w:t>0</w:t>
      </w:r>
      <w:r w:rsidRPr="00E81A6E">
        <w:rPr>
          <w:rFonts w:ascii="Times New Roman" w:hAnsi="Times New Roman" w:cs="Times New Roman"/>
          <w:i/>
          <w:iCs/>
          <w:sz w:val="24"/>
          <w:szCs w:val="24"/>
          <w:lang w:val="ru-RU"/>
        </w:rPr>
        <w:t>,000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00B26384" w:rsidRPr="00E81A6E">
        <w:rPr>
          <w:rFonts w:ascii="Times New Roman" w:hAnsi="Times New Roman" w:cs="Times New Roman"/>
          <w:i/>
          <w:iCs/>
          <w:sz w:val="24"/>
          <w:szCs w:val="24"/>
          <w:lang w:val="ru-RU"/>
        </w:rPr>
        <w:t xml:space="preserve"> </w:t>
      </w:r>
    </w:p>
    <w:p w14:paraId="7F7A830E" w14:textId="77777777" w:rsidR="006F5B92" w:rsidRPr="00E81A6E" w:rsidRDefault="006F5B92" w:rsidP="00350B12">
      <w:pPr>
        <w:pStyle w:val="ListParagraph"/>
        <w:numPr>
          <w:ilvl w:val="0"/>
          <w:numId w:val="32"/>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за заплати, осигурителни вноски и издръжка на щатна численост по райони. </w:t>
      </w:r>
    </w:p>
    <w:p w14:paraId="1A02AE6B"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В дейността са отнесени средства за ОбП „София-проект”</w:t>
      </w:r>
      <w:r w:rsidR="0086151F" w:rsidRPr="00E81A6E">
        <w:rPr>
          <w:rFonts w:ascii="Times New Roman" w:hAnsi="Times New Roman" w:cs="Times New Roman"/>
          <w:sz w:val="24"/>
          <w:szCs w:val="24"/>
          <w:lang w:val="ru-RU"/>
        </w:rPr>
        <w:t>в общ размер на 2,193,458 лв.,</w:t>
      </w:r>
      <w:r w:rsidRPr="00E81A6E">
        <w:rPr>
          <w:rFonts w:ascii="Times New Roman" w:hAnsi="Times New Roman" w:cs="Times New Roman"/>
          <w:sz w:val="24"/>
          <w:szCs w:val="24"/>
          <w:lang w:val="ru-RU"/>
        </w:rPr>
        <w:t xml:space="preserve"> ОбП „</w:t>
      </w:r>
      <w:r w:rsidR="0086151F" w:rsidRPr="00E81A6E">
        <w:rPr>
          <w:rFonts w:ascii="Times New Roman" w:hAnsi="Times New Roman" w:cs="Times New Roman"/>
          <w:sz w:val="24"/>
          <w:szCs w:val="24"/>
          <w:lang w:val="ru-RU"/>
        </w:rPr>
        <w:t>Софияплан</w:t>
      </w:r>
      <w:r w:rsidRPr="00E81A6E">
        <w:rPr>
          <w:rFonts w:ascii="Times New Roman" w:hAnsi="Times New Roman" w:cs="Times New Roman"/>
          <w:sz w:val="24"/>
          <w:szCs w:val="24"/>
          <w:lang w:val="ru-RU"/>
        </w:rPr>
        <w:t xml:space="preserve">” </w:t>
      </w:r>
      <w:r w:rsidR="0086151F" w:rsidRPr="00E81A6E">
        <w:rPr>
          <w:rFonts w:ascii="Times New Roman" w:hAnsi="Times New Roman" w:cs="Times New Roman"/>
          <w:sz w:val="24"/>
          <w:szCs w:val="24"/>
          <w:lang w:val="ru-RU"/>
        </w:rPr>
        <w:t>общо 1,464,509</w:t>
      </w:r>
      <w:r w:rsidRPr="00E81A6E">
        <w:rPr>
          <w:rFonts w:ascii="Times New Roman" w:hAnsi="Times New Roman" w:cs="Times New Roman"/>
          <w:sz w:val="24"/>
          <w:szCs w:val="24"/>
          <w:lang w:val="ru-RU"/>
        </w:rPr>
        <w:t>, съгласно Приложение</w:t>
      </w:r>
      <w:r w:rsidR="00C267A2"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2.1 за бюджетите на общинските предприятия</w:t>
      </w:r>
      <w:r w:rsidR="00C267A2" w:rsidRPr="00E81A6E">
        <w:rPr>
          <w:rFonts w:ascii="Times New Roman" w:hAnsi="Times New Roman" w:cs="Times New Roman"/>
          <w:sz w:val="24"/>
          <w:szCs w:val="24"/>
          <w:lang w:val="ru-RU"/>
        </w:rPr>
        <w:t>. З</w:t>
      </w:r>
      <w:r w:rsidR="0086151F" w:rsidRPr="00E81A6E">
        <w:rPr>
          <w:rFonts w:ascii="Times New Roman" w:hAnsi="Times New Roman" w:cs="Times New Roman"/>
          <w:sz w:val="24"/>
          <w:szCs w:val="24"/>
          <w:lang w:val="ru-RU"/>
        </w:rPr>
        <w:t>а заплати, осигурителни вноски и издръжка на 36 щатни бройки в 16 района</w:t>
      </w:r>
      <w:r w:rsidR="00C267A2" w:rsidRPr="00E81A6E">
        <w:rPr>
          <w:rFonts w:ascii="Times New Roman" w:hAnsi="Times New Roman" w:cs="Times New Roman"/>
          <w:sz w:val="24"/>
          <w:szCs w:val="24"/>
          <w:lang w:val="ru-RU"/>
        </w:rPr>
        <w:t>, както и</w:t>
      </w:r>
      <w:r w:rsidR="0086151F" w:rsidRPr="00E81A6E">
        <w:rPr>
          <w:rFonts w:ascii="Times New Roman" w:hAnsi="Times New Roman" w:cs="Times New Roman"/>
          <w:sz w:val="24"/>
          <w:szCs w:val="24"/>
          <w:lang w:val="ru-RU"/>
        </w:rPr>
        <w:t xml:space="preserve"> средства за </w:t>
      </w:r>
      <w:r w:rsidR="00C267A2" w:rsidRPr="00E81A6E">
        <w:rPr>
          <w:rFonts w:ascii="Times New Roman" w:hAnsi="Times New Roman" w:cs="Times New Roman"/>
          <w:sz w:val="24"/>
          <w:szCs w:val="24"/>
          <w:lang w:val="ru-RU"/>
        </w:rPr>
        <w:t xml:space="preserve">поддръжка на общи части на </w:t>
      </w:r>
      <w:r w:rsidR="0086151F" w:rsidRPr="00E81A6E">
        <w:rPr>
          <w:rFonts w:ascii="Times New Roman" w:hAnsi="Times New Roman" w:cs="Times New Roman"/>
          <w:sz w:val="24"/>
          <w:szCs w:val="24"/>
          <w:lang w:val="ru-RU"/>
        </w:rPr>
        <w:t>общински жилища</w:t>
      </w:r>
      <w:r w:rsidR="00C267A2" w:rsidRPr="00E81A6E">
        <w:rPr>
          <w:rFonts w:ascii="Times New Roman" w:hAnsi="Times New Roman" w:cs="Times New Roman"/>
          <w:sz w:val="24"/>
          <w:szCs w:val="24"/>
          <w:lang w:val="ru-RU"/>
        </w:rPr>
        <w:t xml:space="preserve"> по райони 1,572,564 лв</w:t>
      </w:r>
      <w:r w:rsidRPr="00E81A6E">
        <w:rPr>
          <w:rFonts w:ascii="Times New Roman" w:hAnsi="Times New Roman" w:cs="Times New Roman"/>
          <w:sz w:val="24"/>
          <w:szCs w:val="24"/>
          <w:lang w:val="ru-RU"/>
        </w:rPr>
        <w:t>.</w:t>
      </w:r>
    </w:p>
    <w:p w14:paraId="73E9FBEF"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lastRenderedPageBreak/>
        <w:t xml:space="preserve">Дейност 629 „Други дейности по опазване на околната среда” </w:t>
      </w:r>
      <w:r w:rsidRPr="00E81A6E">
        <w:rPr>
          <w:rFonts w:ascii="Times New Roman" w:hAnsi="Times New Roman" w:cs="Times New Roman"/>
          <w:sz w:val="24"/>
          <w:szCs w:val="24"/>
          <w:lang w:val="ru-RU"/>
        </w:rPr>
        <w:t xml:space="preserve">за </w:t>
      </w:r>
      <w:r w:rsidRPr="00E81A6E">
        <w:rPr>
          <w:rFonts w:ascii="Times New Roman" w:hAnsi="Times New Roman" w:cs="Times New Roman"/>
          <w:b/>
          <w:bCs/>
          <w:sz w:val="24"/>
          <w:szCs w:val="24"/>
          <w:lang w:val="ru-RU"/>
        </w:rPr>
        <w:t>текуща дейност</w:t>
      </w:r>
      <w:r w:rsidRPr="00E81A6E">
        <w:rPr>
          <w:rFonts w:ascii="Times New Roman" w:hAnsi="Times New Roman" w:cs="Times New Roman"/>
          <w:sz w:val="24"/>
          <w:szCs w:val="24"/>
          <w:lang w:val="ru-RU"/>
        </w:rPr>
        <w:t xml:space="preserve"> </w:t>
      </w:r>
      <w:r w:rsidRPr="00E81A6E">
        <w:rPr>
          <w:rFonts w:ascii="Times New Roman" w:hAnsi="Times New Roman" w:cs="Times New Roman"/>
          <w:b/>
          <w:bCs/>
          <w:sz w:val="24"/>
          <w:szCs w:val="24"/>
          <w:lang w:val="ru-RU"/>
        </w:rPr>
        <w:t>4,</w:t>
      </w:r>
      <w:r w:rsidR="00A96BA4" w:rsidRPr="00E81A6E">
        <w:rPr>
          <w:rFonts w:ascii="Times New Roman" w:hAnsi="Times New Roman" w:cs="Times New Roman"/>
          <w:b/>
          <w:bCs/>
          <w:sz w:val="24"/>
          <w:szCs w:val="24"/>
          <w:lang w:val="ru-RU"/>
        </w:rPr>
        <w:t>105</w:t>
      </w:r>
      <w:r w:rsidRPr="00E81A6E">
        <w:rPr>
          <w:rFonts w:ascii="Times New Roman" w:hAnsi="Times New Roman" w:cs="Times New Roman"/>
          <w:b/>
          <w:bCs/>
          <w:sz w:val="24"/>
          <w:szCs w:val="24"/>
          <w:lang w:val="ru-RU"/>
        </w:rPr>
        <w:t>,</w:t>
      </w:r>
      <w:r w:rsidR="00A96BA4" w:rsidRPr="00E81A6E">
        <w:rPr>
          <w:rFonts w:ascii="Times New Roman" w:hAnsi="Times New Roman" w:cs="Times New Roman"/>
          <w:b/>
          <w:bCs/>
          <w:sz w:val="24"/>
          <w:szCs w:val="24"/>
          <w:lang w:val="ru-RU"/>
        </w:rPr>
        <w:t>46</w:t>
      </w:r>
      <w:r w:rsidR="00171848" w:rsidRPr="00E81A6E">
        <w:rPr>
          <w:rFonts w:ascii="Times New Roman" w:hAnsi="Times New Roman" w:cs="Times New Roman"/>
          <w:b/>
          <w:bCs/>
          <w:sz w:val="24"/>
          <w:szCs w:val="24"/>
          <w:lang w:val="ru-RU"/>
        </w:rPr>
        <w:t>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В тази дейност са разчетени средства по договор с ГИС – София ЕООД в размер на 3,800,000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дължими такси за съгласуване на проекти по капиталовата</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програма </w:t>
      </w:r>
      <w:r w:rsidR="0044242B" w:rsidRPr="00E81A6E">
        <w:rPr>
          <w:rFonts w:ascii="Times New Roman" w:hAnsi="Times New Roman" w:cs="Times New Roman"/>
          <w:sz w:val="24"/>
          <w:szCs w:val="24"/>
          <w:lang w:val="ru-RU"/>
        </w:rPr>
        <w:t xml:space="preserve">и обследване и паспортизация на сгради </w:t>
      </w:r>
      <w:r w:rsidR="00956994" w:rsidRPr="00E81A6E">
        <w:rPr>
          <w:rFonts w:ascii="Times New Roman" w:hAnsi="Times New Roman" w:cs="Times New Roman"/>
          <w:sz w:val="24"/>
          <w:szCs w:val="24"/>
          <w:lang w:val="ru-RU"/>
        </w:rPr>
        <w:t xml:space="preserve">и такси </w:t>
      </w:r>
      <w:r w:rsidR="00A96BA4" w:rsidRPr="00E81A6E">
        <w:rPr>
          <w:rFonts w:ascii="Times New Roman" w:hAnsi="Times New Roman" w:cs="Times New Roman"/>
          <w:sz w:val="24"/>
          <w:szCs w:val="24"/>
          <w:lang w:val="ru-RU"/>
        </w:rPr>
        <w:t>245</w:t>
      </w:r>
      <w:r w:rsidRPr="00E81A6E">
        <w:rPr>
          <w:rFonts w:ascii="Times New Roman" w:hAnsi="Times New Roman" w:cs="Times New Roman"/>
          <w:sz w:val="24"/>
          <w:szCs w:val="24"/>
          <w:lang w:val="ru-RU"/>
        </w:rPr>
        <w:t>,</w:t>
      </w:r>
      <w:r w:rsidR="00A96BA4" w:rsidRPr="00E81A6E">
        <w:rPr>
          <w:rFonts w:ascii="Times New Roman" w:hAnsi="Times New Roman" w:cs="Times New Roman"/>
          <w:sz w:val="24"/>
          <w:szCs w:val="24"/>
          <w:lang w:val="ru-RU"/>
        </w:rPr>
        <w:t>46</w:t>
      </w:r>
      <w:r w:rsidRPr="00E81A6E">
        <w:rPr>
          <w:rFonts w:ascii="Times New Roman" w:hAnsi="Times New Roman" w:cs="Times New Roman"/>
          <w:sz w:val="24"/>
          <w:szCs w:val="24"/>
          <w:lang w:val="ru-RU"/>
        </w:rPr>
        <w:t>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w:t>
      </w:r>
    </w:p>
    <w:p w14:paraId="72730173"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Предвидени са средства за разработване на проекти за кандидатстване по Оперативни програми </w:t>
      </w:r>
      <w:r w:rsidR="00A96BA4" w:rsidRPr="00E81A6E">
        <w:rPr>
          <w:rFonts w:ascii="Times New Roman" w:hAnsi="Times New Roman" w:cs="Times New Roman"/>
          <w:sz w:val="24"/>
          <w:szCs w:val="24"/>
          <w:lang w:val="ru-RU"/>
        </w:rPr>
        <w:t>6</w:t>
      </w:r>
      <w:r w:rsidR="0044242B"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w:t>
      </w:r>
      <w:r w:rsidR="00A96BA4"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B26384" w:rsidRPr="00E81A6E">
        <w:rPr>
          <w:rFonts w:ascii="Times New Roman" w:hAnsi="Times New Roman" w:cs="Times New Roman"/>
          <w:sz w:val="24"/>
          <w:szCs w:val="24"/>
          <w:lang w:val="ru-RU"/>
        </w:rPr>
        <w:t xml:space="preserve"> </w:t>
      </w:r>
    </w:p>
    <w:p w14:paraId="410B7BE8"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ru-RU"/>
        </w:rPr>
      </w:pPr>
    </w:p>
    <w:p w14:paraId="709D591B"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bg-BG"/>
        </w:rPr>
      </w:pPr>
      <w:bookmarkStart w:id="111" w:name="_Toc409874556"/>
      <w:bookmarkStart w:id="112" w:name="_Toc499639785"/>
      <w:bookmarkStart w:id="113" w:name="_Toc500496081"/>
      <w:bookmarkStart w:id="114" w:name="_Toc500496427"/>
      <w:bookmarkStart w:id="115" w:name="_Toc503629637"/>
      <w:bookmarkStart w:id="116" w:name="_Toc61971781"/>
      <w:r w:rsidRPr="00E81A6E">
        <w:rPr>
          <w:rFonts w:ascii="Times New Roman" w:hAnsi="Times New Roman" w:cs="Times New Roman"/>
          <w:color w:val="auto"/>
          <w:sz w:val="24"/>
          <w:szCs w:val="24"/>
          <w:lang w:val="ru-RU"/>
        </w:rPr>
        <w:t xml:space="preserve">Функция </w:t>
      </w:r>
      <w:r w:rsidR="00380ACF" w:rsidRPr="00E81A6E">
        <w:rPr>
          <w:rFonts w:ascii="Times New Roman" w:hAnsi="Times New Roman" w:cs="Times New Roman"/>
          <w:color w:val="auto"/>
          <w:sz w:val="24"/>
          <w:szCs w:val="24"/>
          <w:lang w:val="bg-BG" w:eastAsia="bg-BG"/>
        </w:rPr>
        <w:t>„Култура, спорт, почивни дейности и религиозно дело</w:t>
      </w:r>
      <w:bookmarkEnd w:id="111"/>
      <w:bookmarkEnd w:id="112"/>
      <w:bookmarkEnd w:id="113"/>
      <w:bookmarkEnd w:id="114"/>
      <w:r w:rsidR="00380ACF" w:rsidRPr="00E81A6E">
        <w:rPr>
          <w:rFonts w:ascii="Times New Roman" w:hAnsi="Times New Roman" w:cs="Times New Roman"/>
          <w:color w:val="auto"/>
          <w:sz w:val="24"/>
          <w:szCs w:val="24"/>
          <w:lang w:val="bg-BG" w:eastAsia="bg-BG"/>
        </w:rPr>
        <w:t>“</w:t>
      </w:r>
      <w:r w:rsidRPr="00E81A6E">
        <w:rPr>
          <w:rFonts w:ascii="Times New Roman" w:hAnsi="Times New Roman" w:cs="Times New Roman"/>
          <w:color w:val="auto"/>
          <w:sz w:val="24"/>
          <w:szCs w:val="24"/>
          <w:lang w:val="ru-RU"/>
        </w:rPr>
        <w:t xml:space="preserve"> </w:t>
      </w:r>
      <w:r w:rsidRPr="00E81A6E">
        <w:rPr>
          <w:rFonts w:ascii="Times New Roman" w:hAnsi="Times New Roman" w:cs="Times New Roman"/>
          <w:color w:val="auto"/>
          <w:sz w:val="24"/>
          <w:szCs w:val="24"/>
          <w:lang w:val="bg-BG"/>
        </w:rPr>
        <w:t>– текущи разходи</w:t>
      </w:r>
      <w:bookmarkEnd w:id="115"/>
      <w:bookmarkEnd w:id="116"/>
    </w:p>
    <w:p w14:paraId="5F705B3D" w14:textId="77777777" w:rsidR="00380ACF" w:rsidRPr="00E81A6E" w:rsidRDefault="00380ACF" w:rsidP="00F55B06">
      <w:pPr>
        <w:spacing w:after="0"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Със средства от държавния бюджет в тази функция се финансират:</w:t>
      </w:r>
    </w:p>
    <w:p w14:paraId="74692BDE" w14:textId="77777777" w:rsidR="00380ACF" w:rsidRPr="00E81A6E" w:rsidRDefault="00380ACF" w:rsidP="00350B12">
      <w:pPr>
        <w:pStyle w:val="ListParagraph"/>
        <w:numPr>
          <w:ilvl w:val="0"/>
          <w:numId w:val="33"/>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Спорт за всички;</w:t>
      </w:r>
    </w:p>
    <w:p w14:paraId="01C4D565" w14:textId="77777777" w:rsidR="00380ACF" w:rsidRPr="00E81A6E" w:rsidRDefault="00380ACF" w:rsidP="00350B12">
      <w:pPr>
        <w:pStyle w:val="ListParagraph"/>
        <w:numPr>
          <w:ilvl w:val="0"/>
          <w:numId w:val="33"/>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Читалища;</w:t>
      </w:r>
    </w:p>
    <w:p w14:paraId="773B2CF9" w14:textId="77777777" w:rsidR="00380ACF" w:rsidRPr="00E81A6E" w:rsidRDefault="00380ACF" w:rsidP="00350B12">
      <w:pPr>
        <w:pStyle w:val="ListParagraph"/>
        <w:numPr>
          <w:ilvl w:val="0"/>
          <w:numId w:val="33"/>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Музеи и художествени галерии с национален и регионален характер;</w:t>
      </w:r>
    </w:p>
    <w:p w14:paraId="34394FE2" w14:textId="77777777" w:rsidR="00380ACF" w:rsidRPr="00E81A6E" w:rsidRDefault="00380ACF" w:rsidP="00350B12">
      <w:pPr>
        <w:pStyle w:val="ListParagraph"/>
        <w:numPr>
          <w:ilvl w:val="0"/>
          <w:numId w:val="33"/>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Библиотеки с регионален характер;</w:t>
      </w:r>
    </w:p>
    <w:p w14:paraId="15BA7296" w14:textId="77777777" w:rsidR="00380ACF" w:rsidRPr="00E81A6E" w:rsidRDefault="00380ACF" w:rsidP="00350B12">
      <w:pPr>
        <w:pStyle w:val="ListParagraph"/>
        <w:numPr>
          <w:ilvl w:val="0"/>
          <w:numId w:val="33"/>
        </w:numPr>
        <w:spacing w:after="0" w:line="240" w:lineRule="auto"/>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 xml:space="preserve">Други дейности по културата - целеви средства. </w:t>
      </w:r>
    </w:p>
    <w:p w14:paraId="2CCAA408"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b/>
          <w:bCs/>
          <w:sz w:val="24"/>
          <w:szCs w:val="24"/>
          <w:lang w:val="ru-RU"/>
        </w:rPr>
        <w:t xml:space="preserve">Група - “Физкултура и спорт” </w:t>
      </w:r>
      <w:r w:rsidRPr="00E81A6E">
        <w:rPr>
          <w:rFonts w:ascii="Times New Roman" w:hAnsi="Times New Roman" w:cs="Times New Roman"/>
          <w:b/>
          <w:bCs/>
          <w:sz w:val="24"/>
          <w:szCs w:val="24"/>
          <w:lang w:val="bg-BG"/>
        </w:rPr>
        <w:t>– текущи разходи</w:t>
      </w:r>
    </w:p>
    <w:p w14:paraId="7503A1F1"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b/>
          <w:bCs/>
          <w:sz w:val="24"/>
          <w:szCs w:val="24"/>
          <w:lang w:val="bg-BG"/>
        </w:rPr>
        <w:t xml:space="preserve">За делегирани държавни дейности от преходен остатък </w:t>
      </w:r>
      <w:r w:rsidR="006006AE" w:rsidRPr="00E81A6E">
        <w:rPr>
          <w:rFonts w:ascii="Times New Roman" w:hAnsi="Times New Roman" w:cs="Times New Roman"/>
          <w:b/>
          <w:bCs/>
          <w:sz w:val="24"/>
          <w:szCs w:val="24"/>
        </w:rPr>
        <w:t>2,</w:t>
      </w:r>
      <w:r w:rsidR="00E63FC1" w:rsidRPr="00E81A6E">
        <w:rPr>
          <w:rFonts w:ascii="Times New Roman" w:hAnsi="Times New Roman" w:cs="Times New Roman"/>
          <w:b/>
          <w:bCs/>
          <w:sz w:val="24"/>
          <w:szCs w:val="24"/>
          <w:lang w:val="bg-BG"/>
        </w:rPr>
        <w:t>601</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b/>
          <w:bCs/>
          <w:sz w:val="24"/>
          <w:szCs w:val="24"/>
          <w:lang w:val="bg-BG"/>
        </w:rPr>
        <w:t>лв.</w:t>
      </w:r>
    </w:p>
    <w:p w14:paraId="27688EFE"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bg-BG"/>
        </w:rPr>
        <w:t>З</w:t>
      </w:r>
      <w:r w:rsidRPr="00E81A6E">
        <w:rPr>
          <w:rFonts w:ascii="Times New Roman" w:hAnsi="Times New Roman" w:cs="Times New Roman"/>
          <w:sz w:val="24"/>
          <w:szCs w:val="24"/>
          <w:lang w:val="ru-RU"/>
        </w:rPr>
        <w:t xml:space="preserve">а </w:t>
      </w:r>
      <w:r w:rsidRPr="00E81A6E">
        <w:rPr>
          <w:rFonts w:ascii="Times New Roman" w:hAnsi="Times New Roman" w:cs="Times New Roman"/>
          <w:b/>
          <w:bCs/>
          <w:sz w:val="24"/>
          <w:szCs w:val="24"/>
          <w:lang w:val="ru-RU"/>
        </w:rPr>
        <w:t>местни дейности</w:t>
      </w:r>
      <w:r w:rsidRPr="00E81A6E">
        <w:rPr>
          <w:rFonts w:ascii="Times New Roman" w:hAnsi="Times New Roman" w:cs="Times New Roman"/>
          <w:sz w:val="24"/>
          <w:szCs w:val="24"/>
          <w:lang w:val="bg-BG"/>
        </w:rPr>
        <w:t xml:space="preserve"> са</w:t>
      </w:r>
      <w:r w:rsidRPr="00E81A6E">
        <w:rPr>
          <w:rFonts w:ascii="Times New Roman" w:hAnsi="Times New Roman" w:cs="Times New Roman"/>
          <w:sz w:val="24"/>
          <w:szCs w:val="24"/>
          <w:lang w:val="ru-RU"/>
        </w:rPr>
        <w:t xml:space="preserve"> разпределени</w:t>
      </w:r>
      <w:r w:rsidRPr="00E81A6E">
        <w:rPr>
          <w:rFonts w:ascii="Times New Roman" w:hAnsi="Times New Roman" w:cs="Times New Roman"/>
          <w:sz w:val="24"/>
          <w:szCs w:val="24"/>
          <w:lang w:val="bg-BG"/>
        </w:rPr>
        <w:t xml:space="preserve"> </w:t>
      </w:r>
      <w:r w:rsidRPr="00E81A6E">
        <w:rPr>
          <w:rFonts w:ascii="Times New Roman" w:hAnsi="Times New Roman" w:cs="Times New Roman"/>
          <w:b/>
          <w:bCs/>
          <w:sz w:val="24"/>
          <w:szCs w:val="24"/>
          <w:lang w:val="bg-BG"/>
        </w:rPr>
        <w:t>3,</w:t>
      </w:r>
      <w:r w:rsidR="00E63FC1" w:rsidRPr="00E81A6E">
        <w:rPr>
          <w:rFonts w:ascii="Times New Roman" w:hAnsi="Times New Roman" w:cs="Times New Roman"/>
          <w:b/>
          <w:bCs/>
          <w:sz w:val="24"/>
          <w:szCs w:val="24"/>
          <w:lang w:val="bg-BG"/>
        </w:rPr>
        <w:t>393</w:t>
      </w:r>
      <w:r w:rsidRPr="00E81A6E">
        <w:rPr>
          <w:rFonts w:ascii="Times New Roman" w:hAnsi="Times New Roman" w:cs="Times New Roman"/>
          <w:b/>
          <w:bCs/>
          <w:sz w:val="24"/>
          <w:szCs w:val="24"/>
          <w:lang w:val="bg-BG"/>
        </w:rPr>
        <w:t>,</w:t>
      </w:r>
      <w:r w:rsidR="0031698B" w:rsidRPr="00E81A6E">
        <w:rPr>
          <w:rFonts w:ascii="Times New Roman" w:hAnsi="Times New Roman" w:cs="Times New Roman"/>
          <w:b/>
          <w:bCs/>
          <w:sz w:val="24"/>
          <w:szCs w:val="24"/>
          <w:lang w:val="bg-BG"/>
        </w:rPr>
        <w:t>2</w:t>
      </w:r>
      <w:r w:rsidR="00E63FC1" w:rsidRPr="00E81A6E">
        <w:rPr>
          <w:rFonts w:ascii="Times New Roman" w:hAnsi="Times New Roman" w:cs="Times New Roman"/>
          <w:b/>
          <w:bCs/>
          <w:sz w:val="24"/>
          <w:szCs w:val="24"/>
          <w:lang w:val="bg-BG"/>
        </w:rPr>
        <w:t>30</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b/>
          <w:bCs/>
          <w:sz w:val="24"/>
          <w:szCs w:val="24"/>
          <w:lang w:val="bg-BG"/>
        </w:rPr>
        <w:t>лв.</w:t>
      </w:r>
      <w:r w:rsidRPr="00E81A6E">
        <w:rPr>
          <w:rFonts w:ascii="Times New Roman" w:hAnsi="Times New Roman" w:cs="Times New Roman"/>
          <w:sz w:val="24"/>
          <w:szCs w:val="24"/>
          <w:lang w:val="ru-RU"/>
        </w:rPr>
        <w:t>, както следва:</w:t>
      </w:r>
    </w:p>
    <w:p w14:paraId="7142643D" w14:textId="77777777" w:rsidR="006F5B92" w:rsidRPr="00E81A6E" w:rsidRDefault="006F5B92" w:rsidP="00350B12">
      <w:pPr>
        <w:pStyle w:val="ListParagraph"/>
        <w:numPr>
          <w:ilvl w:val="0"/>
          <w:numId w:val="34"/>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за заплати на щатен персонал в районите</w:t>
      </w:r>
      <w:r w:rsidR="00B26384" w:rsidRPr="00E81A6E">
        <w:rPr>
          <w:rFonts w:ascii="Times New Roman" w:hAnsi="Times New Roman" w:cs="Times New Roman"/>
          <w:i/>
          <w:iCs/>
          <w:sz w:val="24"/>
          <w:szCs w:val="24"/>
          <w:lang w:val="ru-RU"/>
        </w:rPr>
        <w:t xml:space="preserve"> </w:t>
      </w:r>
      <w:r w:rsidR="0031698B" w:rsidRPr="00E81A6E">
        <w:rPr>
          <w:rFonts w:ascii="Times New Roman" w:hAnsi="Times New Roman" w:cs="Times New Roman"/>
          <w:i/>
          <w:iCs/>
          <w:sz w:val="24"/>
          <w:szCs w:val="24"/>
          <w:lang w:val="ru-RU"/>
        </w:rPr>
        <w:t>2</w:t>
      </w:r>
      <w:r w:rsidR="00E63FC1" w:rsidRPr="00E81A6E">
        <w:rPr>
          <w:rFonts w:ascii="Times New Roman" w:hAnsi="Times New Roman" w:cs="Times New Roman"/>
          <w:i/>
          <w:iCs/>
          <w:sz w:val="24"/>
          <w:szCs w:val="24"/>
          <w:lang w:val="ru-RU"/>
        </w:rPr>
        <w:t>28</w:t>
      </w:r>
      <w:r w:rsidRPr="00E81A6E">
        <w:rPr>
          <w:rFonts w:ascii="Times New Roman" w:hAnsi="Times New Roman" w:cs="Times New Roman"/>
          <w:i/>
          <w:iCs/>
          <w:sz w:val="24"/>
          <w:szCs w:val="24"/>
          <w:lang w:val="ru-RU"/>
        </w:rPr>
        <w:t>,</w:t>
      </w:r>
      <w:r w:rsidR="00E63FC1" w:rsidRPr="00E81A6E">
        <w:rPr>
          <w:rFonts w:ascii="Times New Roman" w:hAnsi="Times New Roman" w:cs="Times New Roman"/>
          <w:i/>
          <w:iCs/>
          <w:sz w:val="24"/>
          <w:szCs w:val="24"/>
          <w:lang w:val="ru-RU"/>
        </w:rPr>
        <w:t>140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1B0C5A52" w14:textId="77777777" w:rsidR="006F5B92" w:rsidRPr="00E81A6E" w:rsidRDefault="006F5B92" w:rsidP="00350B12">
      <w:pPr>
        <w:pStyle w:val="ListParagraph"/>
        <w:numPr>
          <w:ilvl w:val="0"/>
          <w:numId w:val="34"/>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за осигурителни вноски</w:t>
      </w:r>
      <w:r w:rsidR="00B26384" w:rsidRPr="00E81A6E">
        <w:rPr>
          <w:rFonts w:ascii="Times New Roman" w:hAnsi="Times New Roman" w:cs="Times New Roman"/>
          <w:i/>
          <w:iCs/>
          <w:sz w:val="24"/>
          <w:szCs w:val="24"/>
        </w:rPr>
        <w:t xml:space="preserve"> </w:t>
      </w:r>
      <w:r w:rsidR="0031698B" w:rsidRPr="00E81A6E">
        <w:rPr>
          <w:rFonts w:ascii="Times New Roman" w:hAnsi="Times New Roman" w:cs="Times New Roman"/>
          <w:i/>
          <w:iCs/>
          <w:sz w:val="24"/>
          <w:szCs w:val="24"/>
          <w:lang w:val="bg-BG"/>
        </w:rPr>
        <w:t>4</w:t>
      </w:r>
      <w:r w:rsidR="00E63FC1" w:rsidRPr="00E81A6E">
        <w:rPr>
          <w:rFonts w:ascii="Times New Roman" w:hAnsi="Times New Roman" w:cs="Times New Roman"/>
          <w:i/>
          <w:iCs/>
          <w:sz w:val="24"/>
          <w:szCs w:val="24"/>
          <w:lang w:val="bg-BG"/>
        </w:rPr>
        <w:t>4</w:t>
      </w:r>
      <w:r w:rsidRPr="00E81A6E">
        <w:rPr>
          <w:rFonts w:ascii="Times New Roman" w:hAnsi="Times New Roman" w:cs="Times New Roman"/>
          <w:i/>
          <w:iCs/>
          <w:sz w:val="24"/>
          <w:szCs w:val="24"/>
        </w:rPr>
        <w:t>,</w:t>
      </w:r>
      <w:r w:rsidR="00E63FC1" w:rsidRPr="00E81A6E">
        <w:rPr>
          <w:rFonts w:ascii="Times New Roman" w:hAnsi="Times New Roman" w:cs="Times New Roman"/>
          <w:i/>
          <w:iCs/>
          <w:sz w:val="24"/>
          <w:szCs w:val="24"/>
          <w:lang w:val="bg-BG"/>
        </w:rPr>
        <w:t>103</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43F1AD77" w14:textId="77777777" w:rsidR="006F5B92" w:rsidRPr="00E81A6E" w:rsidRDefault="006F5B92" w:rsidP="00350B12">
      <w:pPr>
        <w:pStyle w:val="ListParagraph"/>
        <w:numPr>
          <w:ilvl w:val="0"/>
          <w:numId w:val="34"/>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за издръжка</w:t>
      </w:r>
      <w:r w:rsidR="00B26384" w:rsidRPr="00E81A6E">
        <w:rPr>
          <w:rFonts w:ascii="Times New Roman" w:hAnsi="Times New Roman" w:cs="Times New Roman"/>
          <w:i/>
          <w:iCs/>
          <w:sz w:val="24"/>
          <w:szCs w:val="24"/>
          <w:lang w:val="ru-RU"/>
        </w:rPr>
        <w:t xml:space="preserve"> </w:t>
      </w:r>
      <w:r w:rsidRPr="00E81A6E">
        <w:rPr>
          <w:rFonts w:ascii="Times New Roman" w:hAnsi="Times New Roman" w:cs="Times New Roman"/>
          <w:i/>
          <w:iCs/>
          <w:sz w:val="24"/>
          <w:szCs w:val="24"/>
          <w:lang w:val="bg-BG"/>
        </w:rPr>
        <w:t>3</w:t>
      </w:r>
      <w:r w:rsidRPr="00E81A6E">
        <w:rPr>
          <w:rFonts w:ascii="Times New Roman" w:hAnsi="Times New Roman" w:cs="Times New Roman"/>
          <w:i/>
          <w:iCs/>
          <w:sz w:val="24"/>
          <w:szCs w:val="24"/>
          <w:lang w:val="ru-RU"/>
        </w:rPr>
        <w:t>,</w:t>
      </w:r>
      <w:r w:rsidR="00E63FC1" w:rsidRPr="00E81A6E">
        <w:rPr>
          <w:rFonts w:ascii="Times New Roman" w:hAnsi="Times New Roman" w:cs="Times New Roman"/>
          <w:i/>
          <w:iCs/>
          <w:sz w:val="24"/>
          <w:szCs w:val="24"/>
          <w:lang w:val="ru-RU"/>
        </w:rPr>
        <w:t>120</w:t>
      </w:r>
      <w:r w:rsidRPr="00E81A6E">
        <w:rPr>
          <w:rFonts w:ascii="Times New Roman" w:hAnsi="Times New Roman" w:cs="Times New Roman"/>
          <w:i/>
          <w:iCs/>
          <w:sz w:val="24"/>
          <w:szCs w:val="24"/>
          <w:lang w:val="ru-RU"/>
        </w:rPr>
        <w:t>,</w:t>
      </w:r>
      <w:r w:rsidR="00E63FC1" w:rsidRPr="00E81A6E">
        <w:rPr>
          <w:rFonts w:ascii="Times New Roman" w:hAnsi="Times New Roman" w:cs="Times New Roman"/>
          <w:i/>
          <w:iCs/>
          <w:sz w:val="24"/>
          <w:szCs w:val="24"/>
          <w:lang w:val="ru-RU"/>
        </w:rPr>
        <w:t>987</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bg-BG"/>
        </w:rPr>
        <w:t>, в това число за Програма „София - спортна столица“ 1,000,000</w:t>
      </w:r>
      <w:r w:rsidR="00B26384" w:rsidRPr="00E81A6E">
        <w:rPr>
          <w:rFonts w:ascii="Times New Roman" w:hAnsi="Times New Roman" w:cs="Times New Roman"/>
          <w:i/>
          <w:iCs/>
          <w:sz w:val="24"/>
          <w:szCs w:val="24"/>
          <w:lang w:val="bg-BG"/>
        </w:rPr>
        <w:t xml:space="preserve"> </w:t>
      </w:r>
      <w:r w:rsidR="008E5645" w:rsidRPr="00E81A6E">
        <w:rPr>
          <w:rFonts w:ascii="Times New Roman" w:hAnsi="Times New Roman" w:cs="Times New Roman"/>
          <w:i/>
          <w:iCs/>
          <w:sz w:val="24"/>
          <w:szCs w:val="24"/>
          <w:lang w:val="bg-BG"/>
        </w:rPr>
        <w:t>лв.</w:t>
      </w:r>
    </w:p>
    <w:p w14:paraId="2998987B" w14:textId="77777777" w:rsidR="00BF42A3" w:rsidRPr="00E81A6E" w:rsidRDefault="00BF42A3" w:rsidP="00BF42A3">
      <w:pPr>
        <w:pStyle w:val="ListParagraph"/>
        <w:spacing w:after="0" w:line="240" w:lineRule="auto"/>
        <w:ind w:left="1440"/>
        <w:contextualSpacing/>
        <w:jc w:val="both"/>
        <w:rPr>
          <w:rFonts w:ascii="Times New Roman" w:hAnsi="Times New Roman" w:cs="Times New Roman"/>
          <w:i/>
          <w:iCs/>
          <w:sz w:val="24"/>
          <w:szCs w:val="24"/>
          <w:lang w:val="ru-RU"/>
        </w:rPr>
      </w:pPr>
    </w:p>
    <w:p w14:paraId="5E1E6FE3" w14:textId="77777777" w:rsidR="006F5B92" w:rsidRPr="00E81A6E" w:rsidRDefault="006F5B92" w:rsidP="00F55B06">
      <w:pPr>
        <w:pStyle w:val="Heading4"/>
        <w:spacing w:before="0" w:line="240" w:lineRule="auto"/>
        <w:ind w:firstLine="720"/>
        <w:contextualSpacing/>
        <w:jc w:val="both"/>
        <w:rPr>
          <w:rFonts w:ascii="Times New Roman" w:hAnsi="Times New Roman" w:cs="Times New Roman"/>
          <w:color w:val="auto"/>
          <w:lang w:val="bg-BG"/>
        </w:rPr>
      </w:pPr>
      <w:r w:rsidRPr="00E81A6E">
        <w:rPr>
          <w:rFonts w:ascii="Times New Roman" w:hAnsi="Times New Roman" w:cs="Times New Roman"/>
          <w:color w:val="auto"/>
          <w:lang w:val="ru-RU"/>
        </w:rPr>
        <w:t>Група</w:t>
      </w:r>
      <w:r w:rsidR="00B26384" w:rsidRPr="00E81A6E">
        <w:rPr>
          <w:rFonts w:ascii="Times New Roman" w:hAnsi="Times New Roman" w:cs="Times New Roman"/>
          <w:color w:val="auto"/>
          <w:lang w:val="ru-RU"/>
        </w:rPr>
        <w:t xml:space="preserve"> </w:t>
      </w:r>
      <w:r w:rsidRPr="00E81A6E">
        <w:rPr>
          <w:rFonts w:ascii="Times New Roman" w:hAnsi="Times New Roman" w:cs="Times New Roman"/>
          <w:color w:val="auto"/>
          <w:lang w:val="ru-RU"/>
        </w:rPr>
        <w:t>- “Култура”</w:t>
      </w:r>
      <w:r w:rsidRPr="00E81A6E">
        <w:rPr>
          <w:rFonts w:ascii="Times New Roman" w:hAnsi="Times New Roman" w:cs="Times New Roman"/>
          <w:color w:val="auto"/>
          <w:lang w:val="bg-BG"/>
        </w:rPr>
        <w:t xml:space="preserve"> – текущи разходи</w:t>
      </w:r>
    </w:p>
    <w:p w14:paraId="50B74310"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sz w:val="24"/>
          <w:szCs w:val="24"/>
          <w:lang w:val="bg-BG"/>
        </w:rPr>
        <w:t>Бюджетът е финансово изражение за 20</w:t>
      </w:r>
      <w:r w:rsidR="0031698B" w:rsidRPr="00E81A6E">
        <w:rPr>
          <w:rFonts w:ascii="Times New Roman" w:hAnsi="Times New Roman" w:cs="Times New Roman"/>
          <w:sz w:val="24"/>
          <w:szCs w:val="24"/>
          <w:lang w:val="bg-BG"/>
        </w:rPr>
        <w:t>2</w:t>
      </w:r>
      <w:r w:rsidR="00261416"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г. на Стратегията за развитие на културата в София 2013-2023г., с която се поставят някои основни цели:</w:t>
      </w:r>
    </w:p>
    <w:p w14:paraId="2194905C" w14:textId="77777777" w:rsidR="006F5B92" w:rsidRPr="00E81A6E" w:rsidRDefault="006F5B92" w:rsidP="00350B12">
      <w:pPr>
        <w:pStyle w:val="ListParagraph"/>
        <w:numPr>
          <w:ilvl w:val="0"/>
          <w:numId w:val="35"/>
        </w:numPr>
        <w:spacing w:after="0" w:line="240" w:lineRule="auto"/>
        <w:contextualSpacing/>
        <w:jc w:val="both"/>
        <w:rPr>
          <w:rFonts w:ascii="Times New Roman" w:hAnsi="Times New Roman" w:cs="Times New Roman"/>
          <w:b/>
          <w:bCs/>
          <w:i/>
          <w:iCs/>
          <w:sz w:val="24"/>
          <w:szCs w:val="24"/>
          <w:lang w:val="bg-BG"/>
        </w:rPr>
      </w:pPr>
      <w:r w:rsidRPr="00E81A6E">
        <w:rPr>
          <w:rFonts w:ascii="Times New Roman" w:hAnsi="Times New Roman" w:cs="Times New Roman"/>
          <w:i/>
          <w:iCs/>
          <w:sz w:val="24"/>
          <w:szCs w:val="24"/>
          <w:lang w:val="bg-BG"/>
        </w:rPr>
        <w:t>да утвърди София като древен, модерен и космополитен град;</w:t>
      </w:r>
    </w:p>
    <w:p w14:paraId="5B72E134" w14:textId="77777777" w:rsidR="006F5B92" w:rsidRPr="00E81A6E" w:rsidRDefault="006F5B92" w:rsidP="00350B12">
      <w:pPr>
        <w:pStyle w:val="ListParagraph"/>
        <w:numPr>
          <w:ilvl w:val="0"/>
          <w:numId w:val="35"/>
        </w:numPr>
        <w:spacing w:after="0" w:line="240" w:lineRule="auto"/>
        <w:contextualSpacing/>
        <w:jc w:val="both"/>
        <w:rPr>
          <w:rFonts w:ascii="Times New Roman" w:hAnsi="Times New Roman" w:cs="Times New Roman"/>
          <w:b/>
          <w:bCs/>
          <w:i/>
          <w:iCs/>
          <w:sz w:val="24"/>
          <w:szCs w:val="24"/>
          <w:lang w:val="bg-BG"/>
        </w:rPr>
      </w:pPr>
      <w:r w:rsidRPr="00E81A6E">
        <w:rPr>
          <w:rFonts w:ascii="Times New Roman" w:hAnsi="Times New Roman" w:cs="Times New Roman"/>
          <w:i/>
          <w:iCs/>
          <w:sz w:val="24"/>
          <w:szCs w:val="24"/>
          <w:lang w:val="bg-BG"/>
        </w:rPr>
        <w:t>да гарантира повишаване на участието на гражданите в културните дейности и на потреблението на културни продукти и услуги;</w:t>
      </w:r>
    </w:p>
    <w:p w14:paraId="6136622D" w14:textId="77777777" w:rsidR="006F5B92" w:rsidRPr="00E81A6E" w:rsidRDefault="006F5B92" w:rsidP="00350B12">
      <w:pPr>
        <w:pStyle w:val="ListParagraph"/>
        <w:numPr>
          <w:ilvl w:val="0"/>
          <w:numId w:val="35"/>
        </w:numPr>
        <w:spacing w:after="0" w:line="240" w:lineRule="auto"/>
        <w:contextualSpacing/>
        <w:jc w:val="both"/>
        <w:rPr>
          <w:rFonts w:ascii="Times New Roman" w:hAnsi="Times New Roman" w:cs="Times New Roman"/>
          <w:b/>
          <w:bCs/>
          <w:i/>
          <w:iCs/>
          <w:sz w:val="24"/>
          <w:szCs w:val="24"/>
          <w:lang w:val="bg-BG"/>
        </w:rPr>
      </w:pPr>
      <w:r w:rsidRPr="00E81A6E">
        <w:rPr>
          <w:rFonts w:ascii="Times New Roman" w:hAnsi="Times New Roman" w:cs="Times New Roman"/>
          <w:i/>
          <w:iCs/>
          <w:sz w:val="24"/>
          <w:szCs w:val="24"/>
          <w:lang w:val="bg-BG"/>
        </w:rPr>
        <w:t>да позиционира София в европейския и световен културен календар като привлекателна културна дестинация;</w:t>
      </w:r>
    </w:p>
    <w:p w14:paraId="7E6153D3" w14:textId="77777777" w:rsidR="006F5B92" w:rsidRPr="00E81A6E" w:rsidRDefault="006F5B92" w:rsidP="00350B12">
      <w:pPr>
        <w:pStyle w:val="ListParagraph"/>
        <w:numPr>
          <w:ilvl w:val="0"/>
          <w:numId w:val="35"/>
        </w:numPr>
        <w:spacing w:after="0" w:line="240" w:lineRule="auto"/>
        <w:contextualSpacing/>
        <w:jc w:val="both"/>
        <w:rPr>
          <w:rFonts w:ascii="Times New Roman" w:hAnsi="Times New Roman" w:cs="Times New Roman"/>
          <w:b/>
          <w:bCs/>
          <w:i/>
          <w:iCs/>
          <w:sz w:val="24"/>
          <w:szCs w:val="24"/>
          <w:lang w:val="bg-BG"/>
        </w:rPr>
      </w:pPr>
      <w:r w:rsidRPr="00E81A6E">
        <w:rPr>
          <w:rFonts w:ascii="Times New Roman" w:hAnsi="Times New Roman" w:cs="Times New Roman"/>
          <w:i/>
          <w:iCs/>
          <w:sz w:val="24"/>
          <w:szCs w:val="24"/>
          <w:lang w:val="bg-BG"/>
        </w:rPr>
        <w:t>да съдейства за подобряване качеството на живот на жителите и гостите на София.</w:t>
      </w:r>
    </w:p>
    <w:p w14:paraId="76D9D30A"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sz w:val="24"/>
          <w:szCs w:val="24"/>
          <w:lang w:val="ru-RU"/>
        </w:rPr>
        <w:t>Разчетените</w:t>
      </w:r>
      <w:r w:rsidRPr="00E81A6E">
        <w:rPr>
          <w:rFonts w:ascii="Times New Roman" w:hAnsi="Times New Roman" w:cs="Times New Roman"/>
          <w:sz w:val="24"/>
          <w:szCs w:val="24"/>
          <w:lang w:val="bg-BG"/>
        </w:rPr>
        <w:t xml:space="preserve"> текущи</w:t>
      </w:r>
      <w:r w:rsidRPr="00E81A6E">
        <w:rPr>
          <w:rFonts w:ascii="Times New Roman" w:hAnsi="Times New Roman" w:cs="Times New Roman"/>
          <w:sz w:val="24"/>
          <w:szCs w:val="24"/>
          <w:lang w:val="ru-RU"/>
        </w:rPr>
        <w:t xml:space="preserve"> разходи за 20</w:t>
      </w:r>
      <w:r w:rsidR="0031698B" w:rsidRPr="00E81A6E">
        <w:rPr>
          <w:rFonts w:ascii="Times New Roman" w:hAnsi="Times New Roman" w:cs="Times New Roman"/>
          <w:sz w:val="24"/>
          <w:szCs w:val="24"/>
          <w:lang w:val="ru-RU"/>
        </w:rPr>
        <w:t>2</w:t>
      </w:r>
      <w:r w:rsidR="00F17A28" w:rsidRPr="00E81A6E">
        <w:rPr>
          <w:rFonts w:ascii="Times New Roman" w:hAnsi="Times New Roman" w:cs="Times New Roman"/>
          <w:sz w:val="24"/>
          <w:szCs w:val="24"/>
        </w:rPr>
        <w:t>1</w:t>
      </w:r>
      <w:r w:rsidR="00AC52E9" w:rsidRPr="00E81A6E">
        <w:rPr>
          <w:rFonts w:ascii="Times New Roman" w:hAnsi="Times New Roman" w:cs="Times New Roman"/>
          <w:sz w:val="24"/>
          <w:szCs w:val="24"/>
          <w:lang w:val="ru-RU"/>
        </w:rPr>
        <w:t>г.</w:t>
      </w:r>
      <w:r w:rsidRPr="00E81A6E">
        <w:rPr>
          <w:rFonts w:ascii="Times New Roman" w:hAnsi="Times New Roman" w:cs="Times New Roman"/>
          <w:sz w:val="24"/>
          <w:szCs w:val="24"/>
          <w:lang w:val="ru-RU"/>
        </w:rPr>
        <w:t xml:space="preserve"> са в размер на </w:t>
      </w:r>
      <w:r w:rsidR="0031698B" w:rsidRPr="00E81A6E">
        <w:rPr>
          <w:rFonts w:ascii="Times New Roman" w:hAnsi="Times New Roman" w:cs="Times New Roman"/>
          <w:b/>
          <w:sz w:val="24"/>
          <w:szCs w:val="24"/>
          <w:lang w:val="ru-RU"/>
        </w:rPr>
        <w:t>4</w:t>
      </w:r>
      <w:r w:rsidR="00E63FC1" w:rsidRPr="00E81A6E">
        <w:rPr>
          <w:rFonts w:ascii="Times New Roman" w:hAnsi="Times New Roman" w:cs="Times New Roman"/>
          <w:b/>
          <w:sz w:val="24"/>
          <w:szCs w:val="24"/>
          <w:lang w:val="ru-RU"/>
        </w:rPr>
        <w:t>4</w:t>
      </w:r>
      <w:r w:rsidRPr="00E81A6E">
        <w:rPr>
          <w:rFonts w:ascii="Times New Roman" w:hAnsi="Times New Roman" w:cs="Times New Roman"/>
          <w:b/>
          <w:bCs/>
          <w:sz w:val="24"/>
          <w:szCs w:val="24"/>
          <w:lang w:val="ru-RU"/>
        </w:rPr>
        <w:t>,</w:t>
      </w:r>
      <w:r w:rsidR="00E63FC1" w:rsidRPr="00E81A6E">
        <w:rPr>
          <w:rFonts w:ascii="Times New Roman" w:hAnsi="Times New Roman" w:cs="Times New Roman"/>
          <w:b/>
          <w:bCs/>
          <w:sz w:val="24"/>
          <w:szCs w:val="24"/>
          <w:lang w:val="ru-RU"/>
        </w:rPr>
        <w:t>416</w:t>
      </w:r>
      <w:r w:rsidRPr="00E81A6E">
        <w:rPr>
          <w:rFonts w:ascii="Times New Roman" w:hAnsi="Times New Roman" w:cs="Times New Roman"/>
          <w:b/>
          <w:bCs/>
          <w:sz w:val="24"/>
          <w:szCs w:val="24"/>
          <w:lang w:val="ru-RU"/>
        </w:rPr>
        <w:t>,</w:t>
      </w:r>
      <w:r w:rsidR="00E63FC1" w:rsidRPr="00E81A6E">
        <w:rPr>
          <w:rFonts w:ascii="Times New Roman" w:hAnsi="Times New Roman" w:cs="Times New Roman"/>
          <w:b/>
          <w:bCs/>
          <w:sz w:val="24"/>
          <w:szCs w:val="24"/>
          <w:lang w:val="ru-RU"/>
        </w:rPr>
        <w:t>186</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bg-BG"/>
        </w:rPr>
        <w:t xml:space="preserve"> </w:t>
      </w:r>
    </w:p>
    <w:p w14:paraId="1D821D8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За делегирани дейности 1</w:t>
      </w:r>
      <w:r w:rsidR="00D93AA6" w:rsidRPr="00E81A6E">
        <w:rPr>
          <w:rFonts w:ascii="Times New Roman" w:hAnsi="Times New Roman" w:cs="Times New Roman"/>
          <w:sz w:val="24"/>
          <w:szCs w:val="24"/>
          <w:lang w:val="ru-RU"/>
        </w:rPr>
        <w:t>2</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421</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643</w:t>
      </w:r>
      <w:r w:rsidR="00B26384" w:rsidRPr="00E81A6E">
        <w:rPr>
          <w:rFonts w:ascii="Times New Roman" w:hAnsi="Times New Roman" w:cs="Times New Roman"/>
          <w:sz w:val="24"/>
          <w:szCs w:val="24"/>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 xml:space="preserve"> от </w:t>
      </w:r>
      <w:r w:rsidR="00D93AA6" w:rsidRPr="00E81A6E">
        <w:rPr>
          <w:rFonts w:ascii="Times New Roman" w:hAnsi="Times New Roman" w:cs="Times New Roman"/>
          <w:sz w:val="24"/>
          <w:szCs w:val="24"/>
          <w:lang w:val="bg-BG"/>
        </w:rPr>
        <w:t xml:space="preserve">които </w:t>
      </w:r>
      <w:r w:rsidRPr="00E81A6E">
        <w:rPr>
          <w:rFonts w:ascii="Times New Roman" w:hAnsi="Times New Roman" w:cs="Times New Roman"/>
          <w:sz w:val="24"/>
          <w:szCs w:val="24"/>
          <w:lang w:val="bg-BG"/>
        </w:rPr>
        <w:t>държавен трансфер</w:t>
      </w:r>
      <w:r w:rsidR="001313FE" w:rsidRPr="00E81A6E">
        <w:rPr>
          <w:rFonts w:ascii="Times New Roman" w:hAnsi="Times New Roman" w:cs="Times New Roman"/>
          <w:sz w:val="24"/>
          <w:szCs w:val="24"/>
          <w:lang w:val="bg-BG"/>
        </w:rPr>
        <w:t xml:space="preserve"> </w:t>
      </w:r>
      <w:r w:rsidR="00D93AA6" w:rsidRPr="00E81A6E">
        <w:rPr>
          <w:rFonts w:ascii="Times New Roman" w:hAnsi="Times New Roman" w:cs="Times New Roman"/>
          <w:sz w:val="24"/>
          <w:szCs w:val="24"/>
          <w:lang w:val="bg-BG"/>
        </w:rPr>
        <w:t>12,370,687 лв.</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с </w:t>
      </w:r>
      <w:r w:rsidRPr="00E81A6E">
        <w:rPr>
          <w:rFonts w:ascii="Times New Roman" w:hAnsi="Times New Roman" w:cs="Times New Roman"/>
          <w:sz w:val="24"/>
          <w:szCs w:val="24"/>
          <w:lang w:val="bg-BG"/>
        </w:rPr>
        <w:t>1,</w:t>
      </w:r>
      <w:r w:rsidR="00D93AA6" w:rsidRPr="00E81A6E">
        <w:rPr>
          <w:rFonts w:ascii="Times New Roman" w:hAnsi="Times New Roman" w:cs="Times New Roman"/>
          <w:sz w:val="24"/>
          <w:szCs w:val="24"/>
          <w:lang w:val="bg-BG"/>
        </w:rPr>
        <w:t>197</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632</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повече от 20</w:t>
      </w:r>
      <w:r w:rsidR="00D93AA6" w:rsidRPr="00E81A6E">
        <w:rPr>
          <w:rFonts w:ascii="Times New Roman" w:hAnsi="Times New Roman" w:cs="Times New Roman"/>
          <w:sz w:val="24"/>
          <w:szCs w:val="24"/>
          <w:lang w:val="ru-RU"/>
        </w:rPr>
        <w:t>20</w:t>
      </w:r>
      <w:r w:rsidRPr="00E81A6E">
        <w:rPr>
          <w:rFonts w:ascii="Times New Roman" w:hAnsi="Times New Roman" w:cs="Times New Roman"/>
          <w:sz w:val="24"/>
          <w:szCs w:val="24"/>
          <w:lang w:val="ru-RU"/>
        </w:rPr>
        <w:t xml:space="preserve">г. и от преходен остатък </w:t>
      </w:r>
      <w:r w:rsidR="00D93AA6" w:rsidRPr="00E81A6E">
        <w:rPr>
          <w:rFonts w:ascii="Times New Roman" w:hAnsi="Times New Roman" w:cs="Times New Roman"/>
          <w:sz w:val="24"/>
          <w:szCs w:val="24"/>
          <w:lang w:val="ru-RU"/>
        </w:rPr>
        <w:t>50</w:t>
      </w:r>
      <w:r w:rsidR="006006AE" w:rsidRPr="00E81A6E">
        <w:rPr>
          <w:rFonts w:ascii="Times New Roman" w:hAnsi="Times New Roman" w:cs="Times New Roman"/>
          <w:sz w:val="24"/>
          <w:szCs w:val="24"/>
        </w:rPr>
        <w:t>,</w:t>
      </w:r>
      <w:r w:rsidR="00D93AA6" w:rsidRPr="00E81A6E">
        <w:rPr>
          <w:rFonts w:ascii="Times New Roman" w:hAnsi="Times New Roman" w:cs="Times New Roman"/>
          <w:sz w:val="24"/>
          <w:szCs w:val="24"/>
          <w:lang w:val="bg-BG"/>
        </w:rPr>
        <w:t>956</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00D93AA6" w:rsidRPr="00E81A6E">
        <w:rPr>
          <w:rFonts w:ascii="Times New Roman" w:hAnsi="Times New Roman" w:cs="Times New Roman"/>
          <w:sz w:val="24"/>
          <w:szCs w:val="24"/>
          <w:lang w:val="ru-RU"/>
        </w:rPr>
        <w:t xml:space="preserve"> Средствата са</w:t>
      </w:r>
      <w:r w:rsidRPr="00E81A6E">
        <w:rPr>
          <w:rFonts w:ascii="Times New Roman" w:hAnsi="Times New Roman" w:cs="Times New Roman"/>
          <w:sz w:val="24"/>
          <w:szCs w:val="24"/>
          <w:lang w:val="ru-RU"/>
        </w:rPr>
        <w:t xml:space="preserve"> разпределени</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както следва:</w:t>
      </w:r>
    </w:p>
    <w:p w14:paraId="23B44187" w14:textId="77777777" w:rsidR="006F5B92" w:rsidRPr="00E81A6E" w:rsidRDefault="006F5B92" w:rsidP="00350B12">
      <w:pPr>
        <w:pStyle w:val="ListParagraph"/>
        <w:numPr>
          <w:ilvl w:val="0"/>
          <w:numId w:val="36"/>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Читалища – субсидия </w:t>
      </w:r>
      <w:r w:rsidR="00D93AA6" w:rsidRPr="00E81A6E">
        <w:rPr>
          <w:rFonts w:ascii="Times New Roman" w:hAnsi="Times New Roman" w:cs="Times New Roman"/>
          <w:b/>
          <w:i/>
          <w:iCs/>
          <w:sz w:val="24"/>
          <w:szCs w:val="24"/>
          <w:lang w:val="bg-BG"/>
        </w:rPr>
        <w:t>8</w:t>
      </w:r>
      <w:r w:rsidRPr="00E81A6E">
        <w:rPr>
          <w:rFonts w:ascii="Times New Roman" w:hAnsi="Times New Roman" w:cs="Times New Roman"/>
          <w:b/>
          <w:bCs/>
          <w:i/>
          <w:iCs/>
          <w:sz w:val="24"/>
          <w:szCs w:val="24"/>
        </w:rPr>
        <w:t>,</w:t>
      </w:r>
      <w:r w:rsidR="00D93AA6" w:rsidRPr="00E81A6E">
        <w:rPr>
          <w:rFonts w:ascii="Times New Roman" w:hAnsi="Times New Roman" w:cs="Times New Roman"/>
          <w:b/>
          <w:bCs/>
          <w:i/>
          <w:iCs/>
          <w:sz w:val="24"/>
          <w:szCs w:val="24"/>
          <w:lang w:val="bg-BG"/>
        </w:rPr>
        <w:t>110</w:t>
      </w:r>
      <w:r w:rsidRPr="00E81A6E">
        <w:rPr>
          <w:rFonts w:ascii="Times New Roman" w:hAnsi="Times New Roman" w:cs="Times New Roman"/>
          <w:b/>
          <w:bCs/>
          <w:i/>
          <w:iCs/>
          <w:sz w:val="24"/>
          <w:szCs w:val="24"/>
        </w:rPr>
        <w:t>,</w:t>
      </w:r>
      <w:r w:rsidR="00D93AA6" w:rsidRPr="00E81A6E">
        <w:rPr>
          <w:rFonts w:ascii="Times New Roman" w:hAnsi="Times New Roman" w:cs="Times New Roman"/>
          <w:b/>
          <w:bCs/>
          <w:i/>
          <w:iCs/>
          <w:sz w:val="24"/>
          <w:szCs w:val="24"/>
          <w:lang w:val="bg-BG"/>
        </w:rPr>
        <w:t>191</w:t>
      </w:r>
      <w:r w:rsidR="00B26384" w:rsidRPr="00E81A6E">
        <w:rPr>
          <w:rFonts w:ascii="Times New Roman" w:hAnsi="Times New Roman" w:cs="Times New Roman"/>
          <w:b/>
          <w:bCs/>
          <w:i/>
          <w:iCs/>
          <w:sz w:val="24"/>
          <w:szCs w:val="24"/>
        </w:rPr>
        <w:t xml:space="preserve"> </w:t>
      </w:r>
      <w:r w:rsidR="008E5645" w:rsidRPr="00E81A6E">
        <w:rPr>
          <w:rFonts w:ascii="Times New Roman" w:hAnsi="Times New Roman" w:cs="Times New Roman"/>
          <w:b/>
          <w:bCs/>
          <w:i/>
          <w:iCs/>
          <w:sz w:val="24"/>
          <w:szCs w:val="24"/>
        </w:rPr>
        <w:t>лв.</w:t>
      </w:r>
    </w:p>
    <w:p w14:paraId="55429E53" w14:textId="77777777" w:rsidR="006F5B92" w:rsidRPr="00E81A6E" w:rsidRDefault="006F5B92" w:rsidP="00350B12">
      <w:pPr>
        <w:pStyle w:val="ListParagraph"/>
        <w:numPr>
          <w:ilvl w:val="0"/>
          <w:numId w:val="36"/>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Столична библиотека</w:t>
      </w:r>
      <w:r w:rsidR="00B26384" w:rsidRPr="00E81A6E">
        <w:rPr>
          <w:rFonts w:ascii="Times New Roman" w:hAnsi="Times New Roman" w:cs="Times New Roman"/>
          <w:i/>
          <w:iCs/>
          <w:sz w:val="24"/>
          <w:szCs w:val="24"/>
          <w:lang w:val="ru-RU"/>
        </w:rPr>
        <w:t xml:space="preserve"> </w:t>
      </w:r>
      <w:r w:rsidRPr="00E81A6E">
        <w:rPr>
          <w:rFonts w:ascii="Times New Roman" w:hAnsi="Times New Roman" w:cs="Times New Roman"/>
          <w:b/>
          <w:bCs/>
          <w:i/>
          <w:iCs/>
          <w:sz w:val="24"/>
          <w:szCs w:val="24"/>
          <w:lang w:val="bg-BG"/>
        </w:rPr>
        <w:t>2</w:t>
      </w:r>
      <w:r w:rsidRPr="00E81A6E">
        <w:rPr>
          <w:rFonts w:ascii="Times New Roman" w:hAnsi="Times New Roman" w:cs="Times New Roman"/>
          <w:b/>
          <w:bCs/>
          <w:i/>
          <w:iCs/>
          <w:sz w:val="24"/>
          <w:szCs w:val="24"/>
          <w:lang w:val="ru-RU"/>
        </w:rPr>
        <w:t>,</w:t>
      </w:r>
      <w:r w:rsidR="00D93AA6" w:rsidRPr="00E81A6E">
        <w:rPr>
          <w:rFonts w:ascii="Times New Roman" w:hAnsi="Times New Roman" w:cs="Times New Roman"/>
          <w:b/>
          <w:bCs/>
          <w:i/>
          <w:iCs/>
          <w:sz w:val="24"/>
          <w:szCs w:val="24"/>
          <w:lang w:val="ru-RU"/>
        </w:rPr>
        <w:t>663</w:t>
      </w:r>
      <w:r w:rsidRPr="00E81A6E">
        <w:rPr>
          <w:rFonts w:ascii="Times New Roman" w:hAnsi="Times New Roman" w:cs="Times New Roman"/>
          <w:b/>
          <w:bCs/>
          <w:i/>
          <w:iCs/>
          <w:sz w:val="24"/>
          <w:szCs w:val="24"/>
          <w:lang w:val="ru-RU"/>
        </w:rPr>
        <w:t>,</w:t>
      </w:r>
      <w:r w:rsidR="00D93AA6" w:rsidRPr="00E81A6E">
        <w:rPr>
          <w:rFonts w:ascii="Times New Roman" w:hAnsi="Times New Roman" w:cs="Times New Roman"/>
          <w:b/>
          <w:bCs/>
          <w:i/>
          <w:iCs/>
          <w:sz w:val="24"/>
          <w:szCs w:val="24"/>
          <w:lang w:val="ru-RU"/>
        </w:rPr>
        <w:t>225</w:t>
      </w:r>
      <w:r w:rsidR="00B26384" w:rsidRPr="00E81A6E">
        <w:rPr>
          <w:rFonts w:ascii="Times New Roman" w:hAnsi="Times New Roman" w:cs="Times New Roman"/>
          <w:b/>
          <w:bCs/>
          <w:i/>
          <w:iCs/>
          <w:sz w:val="24"/>
          <w:szCs w:val="24"/>
          <w:lang w:val="ru-RU"/>
        </w:rPr>
        <w:t xml:space="preserve"> </w:t>
      </w:r>
      <w:r w:rsidR="008E5645" w:rsidRPr="00E81A6E">
        <w:rPr>
          <w:rFonts w:ascii="Times New Roman" w:hAnsi="Times New Roman" w:cs="Times New Roman"/>
          <w:b/>
          <w:bCs/>
          <w:i/>
          <w:iCs/>
          <w:sz w:val="24"/>
          <w:szCs w:val="24"/>
          <w:lang w:val="ru-RU"/>
        </w:rPr>
        <w:t>лв.</w:t>
      </w:r>
      <w:r w:rsidRPr="00E81A6E">
        <w:rPr>
          <w:rFonts w:ascii="Times New Roman" w:hAnsi="Times New Roman" w:cs="Times New Roman"/>
          <w:b/>
          <w:bCs/>
          <w:i/>
          <w:iCs/>
          <w:sz w:val="24"/>
          <w:szCs w:val="24"/>
          <w:lang w:val="ru-RU"/>
        </w:rPr>
        <w:t>,</w:t>
      </w:r>
      <w:r w:rsidRPr="00E81A6E">
        <w:rPr>
          <w:rFonts w:ascii="Times New Roman" w:hAnsi="Times New Roman" w:cs="Times New Roman"/>
          <w:b/>
          <w:bCs/>
          <w:i/>
          <w:iCs/>
          <w:sz w:val="24"/>
          <w:szCs w:val="24"/>
          <w:lang w:val="bg-BG"/>
        </w:rPr>
        <w:t xml:space="preserve"> </w:t>
      </w:r>
      <w:r w:rsidRPr="00E81A6E">
        <w:rPr>
          <w:rFonts w:ascii="Times New Roman" w:hAnsi="Times New Roman" w:cs="Times New Roman"/>
          <w:i/>
          <w:iCs/>
          <w:sz w:val="24"/>
          <w:szCs w:val="24"/>
          <w:lang w:val="ru-RU"/>
        </w:rPr>
        <w:t xml:space="preserve">в това число издръжка </w:t>
      </w:r>
      <w:r w:rsidR="00D93AA6" w:rsidRPr="00E81A6E">
        <w:rPr>
          <w:rFonts w:ascii="Times New Roman" w:hAnsi="Times New Roman" w:cs="Times New Roman"/>
          <w:i/>
          <w:iCs/>
          <w:sz w:val="24"/>
          <w:szCs w:val="24"/>
          <w:lang w:val="ru-RU"/>
        </w:rPr>
        <w:t>675</w:t>
      </w:r>
      <w:r w:rsidRPr="00E81A6E">
        <w:rPr>
          <w:rFonts w:ascii="Times New Roman" w:hAnsi="Times New Roman" w:cs="Times New Roman"/>
          <w:i/>
          <w:iCs/>
          <w:sz w:val="24"/>
          <w:szCs w:val="24"/>
          <w:lang w:val="ru-RU"/>
        </w:rPr>
        <w:t>,</w:t>
      </w:r>
      <w:r w:rsidR="00D93AA6" w:rsidRPr="00E81A6E">
        <w:rPr>
          <w:rFonts w:ascii="Times New Roman" w:hAnsi="Times New Roman" w:cs="Times New Roman"/>
          <w:i/>
          <w:iCs/>
          <w:sz w:val="24"/>
          <w:szCs w:val="24"/>
          <w:lang w:val="ru-RU"/>
        </w:rPr>
        <w:t>225</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ru-RU"/>
        </w:rPr>
        <w:t xml:space="preserve"> </w:t>
      </w:r>
    </w:p>
    <w:p w14:paraId="77C0BE86" w14:textId="77777777" w:rsidR="00261416" w:rsidRPr="00E81A6E" w:rsidRDefault="006F5B92" w:rsidP="00350B12">
      <w:pPr>
        <w:pStyle w:val="ListParagraph"/>
        <w:numPr>
          <w:ilvl w:val="0"/>
          <w:numId w:val="36"/>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i/>
          <w:iCs/>
          <w:sz w:val="24"/>
          <w:szCs w:val="24"/>
          <w:lang w:val="ru-RU"/>
        </w:rPr>
        <w:t xml:space="preserve">Столична градска художествена галерия </w:t>
      </w:r>
      <w:r w:rsidR="00D93AA6" w:rsidRPr="00E81A6E">
        <w:rPr>
          <w:rFonts w:ascii="Times New Roman" w:hAnsi="Times New Roman" w:cs="Times New Roman"/>
          <w:b/>
          <w:i/>
          <w:iCs/>
          <w:sz w:val="24"/>
          <w:szCs w:val="24"/>
          <w:lang w:val="ru-RU"/>
        </w:rPr>
        <w:t>578</w:t>
      </w:r>
      <w:r w:rsidRPr="00E81A6E">
        <w:rPr>
          <w:rFonts w:ascii="Times New Roman" w:hAnsi="Times New Roman" w:cs="Times New Roman"/>
          <w:b/>
          <w:bCs/>
          <w:i/>
          <w:iCs/>
          <w:sz w:val="24"/>
          <w:szCs w:val="24"/>
          <w:lang w:val="ru-RU"/>
        </w:rPr>
        <w:t>,</w:t>
      </w:r>
      <w:r w:rsidR="00D93AA6" w:rsidRPr="00E81A6E">
        <w:rPr>
          <w:rFonts w:ascii="Times New Roman" w:hAnsi="Times New Roman" w:cs="Times New Roman"/>
          <w:b/>
          <w:bCs/>
          <w:i/>
          <w:iCs/>
          <w:sz w:val="24"/>
          <w:szCs w:val="24"/>
          <w:lang w:val="ru-RU"/>
        </w:rPr>
        <w:t>893</w:t>
      </w:r>
      <w:r w:rsidR="00B26384" w:rsidRPr="00E81A6E">
        <w:rPr>
          <w:rFonts w:ascii="Times New Roman" w:hAnsi="Times New Roman" w:cs="Times New Roman"/>
          <w:b/>
          <w:bCs/>
          <w:i/>
          <w:iCs/>
          <w:sz w:val="24"/>
          <w:szCs w:val="24"/>
          <w:lang w:val="bg-BG"/>
        </w:rPr>
        <w:t xml:space="preserve"> </w:t>
      </w:r>
      <w:r w:rsidR="008E5645" w:rsidRPr="00E81A6E">
        <w:rPr>
          <w:rFonts w:ascii="Times New Roman" w:hAnsi="Times New Roman" w:cs="Times New Roman"/>
          <w:b/>
          <w:bCs/>
          <w:i/>
          <w:iCs/>
          <w:sz w:val="24"/>
          <w:szCs w:val="24"/>
          <w:lang w:val="ru-RU"/>
        </w:rPr>
        <w:t>лв.</w:t>
      </w:r>
      <w:r w:rsidRPr="00E81A6E">
        <w:rPr>
          <w:rFonts w:ascii="Times New Roman" w:hAnsi="Times New Roman" w:cs="Times New Roman"/>
          <w:b/>
          <w:bCs/>
          <w:i/>
          <w:iCs/>
          <w:sz w:val="24"/>
          <w:szCs w:val="24"/>
          <w:lang w:val="ru-RU"/>
        </w:rPr>
        <w:t xml:space="preserve">, </w:t>
      </w:r>
      <w:r w:rsidRPr="00E81A6E">
        <w:rPr>
          <w:rFonts w:ascii="Times New Roman" w:hAnsi="Times New Roman" w:cs="Times New Roman"/>
          <w:i/>
          <w:iCs/>
          <w:sz w:val="24"/>
          <w:szCs w:val="24"/>
          <w:lang w:val="ru-RU"/>
        </w:rPr>
        <w:t xml:space="preserve">в това число издръжка </w:t>
      </w:r>
      <w:r w:rsidR="00D93AA6" w:rsidRPr="00E81A6E">
        <w:rPr>
          <w:rFonts w:ascii="Times New Roman" w:hAnsi="Times New Roman" w:cs="Times New Roman"/>
          <w:i/>
          <w:iCs/>
          <w:sz w:val="24"/>
          <w:szCs w:val="24"/>
          <w:lang w:val="ru-RU"/>
        </w:rPr>
        <w:t>91</w:t>
      </w:r>
      <w:r w:rsidRPr="00E81A6E">
        <w:rPr>
          <w:rFonts w:ascii="Times New Roman" w:hAnsi="Times New Roman" w:cs="Times New Roman"/>
          <w:i/>
          <w:iCs/>
          <w:sz w:val="24"/>
          <w:szCs w:val="24"/>
          <w:lang w:val="ru-RU"/>
        </w:rPr>
        <w:t>,</w:t>
      </w:r>
      <w:r w:rsidR="00D93AA6" w:rsidRPr="00E81A6E">
        <w:rPr>
          <w:rFonts w:ascii="Times New Roman" w:hAnsi="Times New Roman" w:cs="Times New Roman"/>
          <w:i/>
          <w:iCs/>
          <w:sz w:val="24"/>
          <w:szCs w:val="24"/>
          <w:lang w:val="ru-RU"/>
        </w:rPr>
        <w:t>993</w:t>
      </w:r>
      <w:r w:rsidR="008E5645" w:rsidRPr="00E81A6E">
        <w:rPr>
          <w:rFonts w:ascii="Times New Roman" w:hAnsi="Times New Roman" w:cs="Times New Roman"/>
          <w:i/>
          <w:iCs/>
          <w:sz w:val="24"/>
          <w:szCs w:val="24"/>
          <w:lang w:val="ru-RU"/>
        </w:rPr>
        <w:t xml:space="preserve"> лв.</w:t>
      </w:r>
    </w:p>
    <w:p w14:paraId="385A1BDB" w14:textId="77777777" w:rsidR="006F5B92" w:rsidRPr="00E81A6E" w:rsidRDefault="00261416" w:rsidP="00F55B06">
      <w:pPr>
        <w:spacing w:after="0" w:line="240" w:lineRule="auto"/>
        <w:ind w:firstLine="720"/>
        <w:contextualSpacing/>
        <w:jc w:val="both"/>
        <w:rPr>
          <w:rFonts w:ascii="Times New Roman" w:hAnsi="Times New Roman" w:cs="Times New Roman"/>
          <w:i/>
          <w:iCs/>
          <w:sz w:val="24"/>
          <w:szCs w:val="24"/>
          <w:lang w:val="ru-RU"/>
        </w:rPr>
      </w:pPr>
      <w:r w:rsidRPr="00E81A6E">
        <w:rPr>
          <w:rFonts w:ascii="Times New Roman" w:hAnsi="Times New Roman" w:cs="Times New Roman"/>
          <w:sz w:val="24"/>
          <w:szCs w:val="24"/>
          <w:lang w:val="bg-BG" w:eastAsia="bg-BG"/>
        </w:rPr>
        <w:t>Кметът на общината определя числеността на персонала за делегираните от държавата дейности във функция</w:t>
      </w:r>
      <w:r w:rsidR="00B518EE" w:rsidRPr="00E81A6E">
        <w:rPr>
          <w:rFonts w:ascii="Times New Roman" w:hAnsi="Times New Roman" w:cs="Times New Roman"/>
          <w:sz w:val="24"/>
          <w:szCs w:val="24"/>
          <w:lang w:val="bg-BG" w:eastAsia="bg-BG"/>
        </w:rPr>
        <w:t xml:space="preserve"> </w:t>
      </w:r>
      <w:r w:rsidRPr="00E81A6E">
        <w:rPr>
          <w:rFonts w:ascii="Times New Roman" w:hAnsi="Times New Roman" w:cs="Times New Roman"/>
          <w:sz w:val="24"/>
          <w:szCs w:val="24"/>
          <w:lang w:val="bg-BG" w:eastAsia="bg-BG"/>
        </w:rPr>
        <w:t>„Култура, спорт, почивни дейности и религиозно дело” (без читалищата) в рамките на средствата, определени по стандартите.</w:t>
      </w:r>
      <w:r w:rsidR="006F5B92" w:rsidRPr="00E81A6E">
        <w:rPr>
          <w:rFonts w:ascii="Times New Roman" w:hAnsi="Times New Roman" w:cs="Times New Roman"/>
          <w:i/>
          <w:iCs/>
          <w:sz w:val="24"/>
          <w:szCs w:val="24"/>
          <w:lang w:val="ru-RU"/>
        </w:rPr>
        <w:t xml:space="preserve"> </w:t>
      </w:r>
    </w:p>
    <w:p w14:paraId="73EB8017"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Столична градска художествена галерия се дофинансира за сметка на местни приходи в размер на</w:t>
      </w:r>
      <w:r w:rsidRPr="00E81A6E">
        <w:rPr>
          <w:rFonts w:ascii="Times New Roman" w:hAnsi="Times New Roman" w:cs="Times New Roman"/>
          <w:sz w:val="24"/>
          <w:szCs w:val="24"/>
          <w:lang w:val="bg-BG"/>
        </w:rPr>
        <w:t xml:space="preserve"> </w:t>
      </w:r>
      <w:r w:rsidR="00D93AA6" w:rsidRPr="00E81A6E">
        <w:rPr>
          <w:rFonts w:ascii="Times New Roman" w:hAnsi="Times New Roman" w:cs="Times New Roman"/>
          <w:b/>
          <w:sz w:val="24"/>
          <w:szCs w:val="24"/>
          <w:lang w:val="bg-BG"/>
        </w:rPr>
        <w:t>727</w:t>
      </w:r>
      <w:r w:rsidRPr="00E81A6E">
        <w:rPr>
          <w:rFonts w:ascii="Times New Roman" w:hAnsi="Times New Roman" w:cs="Times New Roman"/>
          <w:b/>
          <w:bCs/>
          <w:sz w:val="24"/>
          <w:szCs w:val="24"/>
          <w:lang w:val="bg-BG"/>
        </w:rPr>
        <w:t>,</w:t>
      </w:r>
      <w:r w:rsidR="00D93AA6" w:rsidRPr="00E81A6E">
        <w:rPr>
          <w:rFonts w:ascii="Times New Roman" w:hAnsi="Times New Roman" w:cs="Times New Roman"/>
          <w:b/>
          <w:bCs/>
          <w:sz w:val="24"/>
          <w:szCs w:val="24"/>
          <w:lang w:val="bg-BG"/>
        </w:rPr>
        <w:t>1</w:t>
      </w:r>
      <w:r w:rsidR="0031698B" w:rsidRPr="00E81A6E">
        <w:rPr>
          <w:rFonts w:ascii="Times New Roman" w:hAnsi="Times New Roman" w:cs="Times New Roman"/>
          <w:b/>
          <w:bCs/>
          <w:sz w:val="24"/>
          <w:szCs w:val="24"/>
          <w:lang w:val="bg-BG"/>
        </w:rPr>
        <w:t>00</w:t>
      </w:r>
      <w:r w:rsidR="00B26384" w:rsidRPr="00E81A6E">
        <w:rPr>
          <w:rFonts w:ascii="Times New Roman" w:hAnsi="Times New Roman" w:cs="Times New Roman"/>
          <w:b/>
          <w:bCs/>
          <w:sz w:val="24"/>
          <w:szCs w:val="24"/>
          <w:lang w:val="bg-BG"/>
        </w:rPr>
        <w:t xml:space="preserve"> </w:t>
      </w:r>
      <w:r w:rsidR="008E5645" w:rsidRPr="00E81A6E">
        <w:rPr>
          <w:rFonts w:ascii="Times New Roman" w:hAnsi="Times New Roman" w:cs="Times New Roman"/>
          <w:b/>
          <w:bCs/>
          <w:sz w:val="24"/>
          <w:szCs w:val="24"/>
          <w:lang w:val="bg-BG"/>
        </w:rPr>
        <w:t>лв.</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за филиал</w:t>
      </w:r>
      <w:r w:rsidRPr="00E81A6E">
        <w:rPr>
          <w:rFonts w:ascii="Times New Roman" w:hAnsi="Times New Roman" w:cs="Times New Roman"/>
          <w:sz w:val="24"/>
          <w:szCs w:val="24"/>
          <w:lang w:val="bg-BG"/>
        </w:rPr>
        <w:t>и</w:t>
      </w:r>
      <w:r w:rsidRPr="00E81A6E">
        <w:rPr>
          <w:rFonts w:ascii="Times New Roman" w:hAnsi="Times New Roman" w:cs="Times New Roman"/>
          <w:sz w:val="24"/>
          <w:szCs w:val="24"/>
          <w:lang w:val="ru-RU"/>
        </w:rPr>
        <w:t xml:space="preserve"> на галерията</w:t>
      </w:r>
      <w:r w:rsidRPr="00E81A6E">
        <w:rPr>
          <w:rFonts w:ascii="Times New Roman" w:hAnsi="Times New Roman" w:cs="Times New Roman"/>
          <w:sz w:val="24"/>
          <w:szCs w:val="24"/>
          <w:lang w:val="bg-BG"/>
        </w:rPr>
        <w:t xml:space="preserve">. </w:t>
      </w:r>
    </w:p>
    <w:p w14:paraId="2C9DE2E6" w14:textId="77777777" w:rsidR="006F5B92" w:rsidRPr="00E81A6E" w:rsidRDefault="001313FE"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lastRenderedPageBreak/>
        <w:t xml:space="preserve">На </w:t>
      </w:r>
      <w:r w:rsidR="006F5B92" w:rsidRPr="00E81A6E">
        <w:rPr>
          <w:rFonts w:ascii="Times New Roman" w:hAnsi="Times New Roman" w:cs="Times New Roman"/>
          <w:sz w:val="24"/>
          <w:szCs w:val="24"/>
          <w:lang w:val="bg-BG"/>
        </w:rPr>
        <w:t xml:space="preserve">РИМ </w:t>
      </w:r>
      <w:r w:rsidR="006F5B92" w:rsidRPr="00E81A6E">
        <w:rPr>
          <w:rFonts w:ascii="Times New Roman" w:hAnsi="Times New Roman" w:cs="Times New Roman"/>
          <w:sz w:val="24"/>
          <w:szCs w:val="24"/>
          <w:lang w:val="ru-RU"/>
        </w:rPr>
        <w:t>“София”</w:t>
      </w:r>
      <w:r w:rsidR="006F5B92" w:rsidRPr="00E81A6E">
        <w:rPr>
          <w:rFonts w:ascii="Times New Roman" w:hAnsi="Times New Roman" w:cs="Times New Roman"/>
          <w:sz w:val="24"/>
          <w:szCs w:val="24"/>
          <w:lang w:val="bg-BG"/>
        </w:rPr>
        <w:t>-</w:t>
      </w:r>
      <w:r w:rsidR="006F5B92" w:rsidRPr="00E81A6E">
        <w:rPr>
          <w:rFonts w:ascii="Times New Roman" w:hAnsi="Times New Roman" w:cs="Times New Roman"/>
          <w:sz w:val="24"/>
          <w:szCs w:val="24"/>
          <w:lang w:val="ru-RU"/>
        </w:rPr>
        <w:t xml:space="preserve"> за 20</w:t>
      </w:r>
      <w:r w:rsidR="00394004" w:rsidRPr="00E81A6E">
        <w:rPr>
          <w:rFonts w:ascii="Times New Roman" w:hAnsi="Times New Roman" w:cs="Times New Roman"/>
          <w:sz w:val="24"/>
          <w:szCs w:val="24"/>
          <w:lang w:val="ru-RU"/>
        </w:rPr>
        <w:t>2</w:t>
      </w:r>
      <w:r w:rsidR="00D93AA6" w:rsidRPr="00E81A6E">
        <w:rPr>
          <w:rFonts w:ascii="Times New Roman" w:hAnsi="Times New Roman" w:cs="Times New Roman"/>
          <w:sz w:val="24"/>
          <w:szCs w:val="24"/>
          <w:lang w:val="ru-RU"/>
        </w:rPr>
        <w:t>1</w:t>
      </w:r>
      <w:r w:rsidR="006F5B92" w:rsidRPr="00E81A6E">
        <w:rPr>
          <w:rFonts w:ascii="Times New Roman" w:hAnsi="Times New Roman" w:cs="Times New Roman"/>
          <w:sz w:val="24"/>
          <w:szCs w:val="24"/>
          <w:lang w:val="ru-RU"/>
        </w:rPr>
        <w:t xml:space="preserve">г. се предоставят заплати, осигурителни вноски и издръжка </w:t>
      </w:r>
      <w:r w:rsidR="00D93AA6" w:rsidRPr="00E81A6E">
        <w:rPr>
          <w:rFonts w:ascii="Times New Roman" w:hAnsi="Times New Roman" w:cs="Times New Roman"/>
          <w:sz w:val="24"/>
          <w:szCs w:val="24"/>
          <w:lang w:val="ru-RU"/>
        </w:rPr>
        <w:t xml:space="preserve">като делегирана държавна отговорност </w:t>
      </w:r>
      <w:r w:rsidR="006F5B92" w:rsidRPr="00E81A6E">
        <w:rPr>
          <w:rFonts w:ascii="Times New Roman" w:hAnsi="Times New Roman" w:cs="Times New Roman"/>
          <w:sz w:val="24"/>
          <w:szCs w:val="24"/>
          <w:lang w:val="ru-RU"/>
        </w:rPr>
        <w:t xml:space="preserve">за </w:t>
      </w:r>
      <w:r w:rsidR="006F5B92" w:rsidRPr="00E81A6E">
        <w:rPr>
          <w:rFonts w:ascii="Times New Roman" w:hAnsi="Times New Roman" w:cs="Times New Roman"/>
          <w:sz w:val="24"/>
          <w:szCs w:val="24"/>
          <w:lang w:val="bg-BG"/>
        </w:rPr>
        <w:t>54</w:t>
      </w:r>
      <w:r w:rsidR="006F5B92" w:rsidRPr="00E81A6E">
        <w:rPr>
          <w:rFonts w:ascii="Times New Roman" w:hAnsi="Times New Roman" w:cs="Times New Roman"/>
          <w:sz w:val="24"/>
          <w:szCs w:val="24"/>
          <w:lang w:val="ru-RU"/>
        </w:rPr>
        <w:t xml:space="preserve"> щатни бройки. </w:t>
      </w:r>
      <w:r w:rsidR="006F5B92" w:rsidRPr="00E81A6E">
        <w:rPr>
          <w:rFonts w:ascii="Times New Roman" w:hAnsi="Times New Roman" w:cs="Times New Roman"/>
          <w:sz w:val="24"/>
          <w:szCs w:val="24"/>
        </w:rPr>
        <w:t>Средствата са в размер на</w:t>
      </w:r>
      <w:r w:rsidR="006F5B92" w:rsidRPr="00E81A6E">
        <w:rPr>
          <w:rFonts w:ascii="Times New Roman" w:hAnsi="Times New Roman" w:cs="Times New Roman"/>
          <w:sz w:val="24"/>
          <w:szCs w:val="24"/>
          <w:lang w:val="bg-BG"/>
        </w:rPr>
        <w:t xml:space="preserve"> </w:t>
      </w:r>
      <w:r w:rsidR="00D93AA6" w:rsidRPr="00E81A6E">
        <w:rPr>
          <w:rFonts w:ascii="Times New Roman" w:hAnsi="Times New Roman" w:cs="Times New Roman"/>
          <w:b/>
          <w:sz w:val="24"/>
          <w:szCs w:val="24"/>
          <w:lang w:val="bg-BG"/>
        </w:rPr>
        <w:t>1,069</w:t>
      </w:r>
      <w:r w:rsidR="006F5B92" w:rsidRPr="00E81A6E">
        <w:rPr>
          <w:rFonts w:ascii="Times New Roman" w:hAnsi="Times New Roman" w:cs="Times New Roman"/>
          <w:b/>
          <w:bCs/>
          <w:sz w:val="24"/>
          <w:szCs w:val="24"/>
        </w:rPr>
        <w:t>,</w:t>
      </w:r>
      <w:r w:rsidR="00D93AA6" w:rsidRPr="00E81A6E">
        <w:rPr>
          <w:rFonts w:ascii="Times New Roman" w:hAnsi="Times New Roman" w:cs="Times New Roman"/>
          <w:b/>
          <w:bCs/>
          <w:sz w:val="24"/>
          <w:szCs w:val="24"/>
          <w:lang w:val="bg-BG"/>
        </w:rPr>
        <w:t>334</w:t>
      </w:r>
      <w:r w:rsidR="008E5645" w:rsidRPr="00E81A6E">
        <w:rPr>
          <w:rFonts w:ascii="Times New Roman" w:hAnsi="Times New Roman" w:cs="Times New Roman"/>
          <w:b/>
          <w:bCs/>
          <w:sz w:val="24"/>
          <w:szCs w:val="24"/>
        </w:rPr>
        <w:t>лв.</w:t>
      </w:r>
    </w:p>
    <w:p w14:paraId="401664CD" w14:textId="77777777" w:rsidR="00F17A28" w:rsidRPr="00E81A6E" w:rsidRDefault="00F17A28" w:rsidP="00F55B06">
      <w:pPr>
        <w:spacing w:after="0" w:line="240" w:lineRule="auto"/>
        <w:ind w:firstLine="720"/>
        <w:contextualSpacing/>
        <w:jc w:val="both"/>
        <w:rPr>
          <w:rFonts w:ascii="Times New Roman" w:hAnsi="Times New Roman" w:cs="Times New Roman"/>
          <w:sz w:val="24"/>
          <w:szCs w:val="24"/>
          <w:lang w:val="bg-BG" w:eastAsia="bg-BG"/>
        </w:rPr>
      </w:pPr>
      <w:r w:rsidRPr="00E81A6E">
        <w:rPr>
          <w:rFonts w:ascii="Times New Roman" w:hAnsi="Times New Roman" w:cs="Times New Roman"/>
          <w:sz w:val="24"/>
          <w:szCs w:val="24"/>
          <w:lang w:val="bg-BG" w:eastAsia="bg-BG"/>
        </w:rPr>
        <w:t>Министърът на културата представя в Министерството на финансите списък на общинските културни институти с регионален характер, финансирани по стандарти за финансиране на делегираните от държавата дейности във функция „Култура, спорт, почивни дейности и религиозно дело”, и уведомява кметовете на общините за разпределението на субсидираните бройки по съответните културни институти на територията на общината.</w:t>
      </w:r>
    </w:p>
    <w:p w14:paraId="3625DEBF"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За </w:t>
      </w:r>
      <w:r w:rsidRPr="00E81A6E">
        <w:rPr>
          <w:rFonts w:ascii="Times New Roman" w:hAnsi="Times New Roman" w:cs="Times New Roman"/>
          <w:b/>
          <w:bCs/>
          <w:sz w:val="24"/>
          <w:szCs w:val="24"/>
          <w:lang w:val="ru-RU"/>
        </w:rPr>
        <w:t>общински дейности</w:t>
      </w:r>
      <w:r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bg-BG"/>
        </w:rPr>
        <w:t xml:space="preserve">във функцията за </w:t>
      </w:r>
      <w:r w:rsidRPr="00E81A6E">
        <w:rPr>
          <w:rFonts w:ascii="Times New Roman" w:hAnsi="Times New Roman" w:cs="Times New Roman"/>
          <w:b/>
          <w:sz w:val="24"/>
          <w:szCs w:val="24"/>
          <w:lang w:val="bg-BG"/>
        </w:rPr>
        <w:t>текущи разходи</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се предвиждат </w:t>
      </w:r>
      <w:r w:rsidR="00D93AA6" w:rsidRPr="00E81A6E">
        <w:rPr>
          <w:rFonts w:ascii="Times New Roman" w:hAnsi="Times New Roman" w:cs="Times New Roman"/>
          <w:b/>
          <w:sz w:val="24"/>
          <w:szCs w:val="24"/>
          <w:lang w:val="ru-RU"/>
        </w:rPr>
        <w:t>31</w:t>
      </w:r>
      <w:r w:rsidRPr="00E81A6E">
        <w:rPr>
          <w:rFonts w:ascii="Times New Roman" w:hAnsi="Times New Roman" w:cs="Times New Roman"/>
          <w:b/>
          <w:bCs/>
          <w:sz w:val="24"/>
          <w:szCs w:val="24"/>
          <w:lang w:val="bg-BG"/>
        </w:rPr>
        <w:t>,</w:t>
      </w:r>
      <w:r w:rsidR="00D93AA6" w:rsidRPr="00E81A6E">
        <w:rPr>
          <w:rFonts w:ascii="Times New Roman" w:hAnsi="Times New Roman" w:cs="Times New Roman"/>
          <w:b/>
          <w:bCs/>
          <w:sz w:val="24"/>
          <w:szCs w:val="24"/>
          <w:lang w:val="bg-BG"/>
        </w:rPr>
        <w:t>267</w:t>
      </w:r>
      <w:r w:rsidRPr="00E81A6E">
        <w:rPr>
          <w:rFonts w:ascii="Times New Roman" w:hAnsi="Times New Roman" w:cs="Times New Roman"/>
          <w:b/>
          <w:bCs/>
          <w:sz w:val="24"/>
          <w:szCs w:val="24"/>
          <w:lang w:val="bg-BG"/>
        </w:rPr>
        <w:t>,</w:t>
      </w:r>
      <w:r w:rsidR="00D93AA6" w:rsidRPr="00E81A6E">
        <w:rPr>
          <w:rFonts w:ascii="Times New Roman" w:hAnsi="Times New Roman" w:cs="Times New Roman"/>
          <w:b/>
          <w:bCs/>
          <w:sz w:val="24"/>
          <w:szCs w:val="24"/>
          <w:lang w:val="bg-BG"/>
        </w:rPr>
        <w:t>443</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bg-BG"/>
        </w:rPr>
        <w:t>:</w:t>
      </w:r>
    </w:p>
    <w:p w14:paraId="65DF09CB" w14:textId="77777777" w:rsidR="006F5B92" w:rsidRPr="00E81A6E" w:rsidRDefault="006F5B92" w:rsidP="00350B12">
      <w:pPr>
        <w:pStyle w:val="ListParagraph"/>
        <w:numPr>
          <w:ilvl w:val="0"/>
          <w:numId w:val="37"/>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заплати </w:t>
      </w:r>
      <w:r w:rsidR="00071FB5" w:rsidRPr="00E81A6E">
        <w:rPr>
          <w:rFonts w:ascii="Times New Roman" w:hAnsi="Times New Roman" w:cs="Times New Roman"/>
          <w:i/>
          <w:iCs/>
          <w:sz w:val="24"/>
          <w:szCs w:val="24"/>
          <w:lang w:val="bg-BG"/>
        </w:rPr>
        <w:t>1</w:t>
      </w:r>
      <w:r w:rsidR="00D93AA6" w:rsidRPr="00E81A6E">
        <w:rPr>
          <w:rFonts w:ascii="Times New Roman" w:hAnsi="Times New Roman" w:cs="Times New Roman"/>
          <w:i/>
          <w:iCs/>
          <w:sz w:val="24"/>
          <w:szCs w:val="24"/>
          <w:lang w:val="bg-BG"/>
        </w:rPr>
        <w:t>1</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781</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679</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3887AABB" w14:textId="77777777" w:rsidR="006F5B92" w:rsidRPr="00E81A6E" w:rsidRDefault="006F5B92" w:rsidP="00350B12">
      <w:pPr>
        <w:pStyle w:val="ListParagraph"/>
        <w:numPr>
          <w:ilvl w:val="0"/>
          <w:numId w:val="37"/>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осигурителни вноски </w:t>
      </w:r>
      <w:r w:rsidRPr="00E81A6E">
        <w:rPr>
          <w:rFonts w:ascii="Times New Roman" w:hAnsi="Times New Roman" w:cs="Times New Roman"/>
          <w:i/>
          <w:iCs/>
          <w:sz w:val="24"/>
          <w:szCs w:val="24"/>
          <w:lang w:val="bg-BG"/>
        </w:rPr>
        <w:t>2</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613</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899</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47AD96AF" w14:textId="77777777" w:rsidR="006F5B92" w:rsidRPr="00E81A6E" w:rsidRDefault="006F5B92" w:rsidP="00350B12">
      <w:pPr>
        <w:pStyle w:val="ListParagraph"/>
        <w:numPr>
          <w:ilvl w:val="0"/>
          <w:numId w:val="37"/>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издръжка 1</w:t>
      </w:r>
      <w:r w:rsidR="00071FB5" w:rsidRPr="00E81A6E">
        <w:rPr>
          <w:rFonts w:ascii="Times New Roman" w:hAnsi="Times New Roman" w:cs="Times New Roman"/>
          <w:i/>
          <w:iCs/>
          <w:sz w:val="24"/>
          <w:szCs w:val="24"/>
          <w:lang w:val="bg-BG"/>
        </w:rPr>
        <w:t>6</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871</w:t>
      </w:r>
      <w:r w:rsidRPr="00E81A6E">
        <w:rPr>
          <w:rFonts w:ascii="Times New Roman" w:hAnsi="Times New Roman" w:cs="Times New Roman"/>
          <w:i/>
          <w:iCs/>
          <w:sz w:val="24"/>
          <w:szCs w:val="24"/>
        </w:rPr>
        <w:t>,</w:t>
      </w:r>
      <w:r w:rsidR="00D93AA6" w:rsidRPr="00E81A6E">
        <w:rPr>
          <w:rFonts w:ascii="Times New Roman" w:hAnsi="Times New Roman" w:cs="Times New Roman"/>
          <w:i/>
          <w:iCs/>
          <w:sz w:val="24"/>
          <w:szCs w:val="24"/>
          <w:lang w:val="bg-BG"/>
        </w:rPr>
        <w:t>865</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697A8DBD"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 xml:space="preserve">В тази функция се разчитат кредитите за: ОбП “Туризъм”, средства общинска отговорност за </w:t>
      </w:r>
      <w:r w:rsidRPr="00E81A6E">
        <w:rPr>
          <w:rFonts w:ascii="Times New Roman" w:hAnsi="Times New Roman" w:cs="Times New Roman"/>
          <w:sz w:val="24"/>
          <w:szCs w:val="24"/>
          <w:lang w:val="bg-BG"/>
        </w:rPr>
        <w:t>РИМ</w:t>
      </w:r>
      <w:r w:rsidRPr="00E81A6E">
        <w:rPr>
          <w:rFonts w:ascii="Times New Roman" w:hAnsi="Times New Roman" w:cs="Times New Roman"/>
          <w:sz w:val="24"/>
          <w:szCs w:val="24"/>
          <w:lang w:val="ru-RU"/>
        </w:rPr>
        <w:t xml:space="preserve"> “София”</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lang w:val="ru-RU"/>
        </w:rPr>
        <w:t xml:space="preserve">“Радостен обреден дом” </w:t>
      </w:r>
      <w:r w:rsidRPr="00E81A6E">
        <w:rPr>
          <w:rFonts w:ascii="Times New Roman" w:hAnsi="Times New Roman" w:cs="Times New Roman"/>
          <w:sz w:val="24"/>
          <w:szCs w:val="24"/>
          <w:lang w:val="bg-BG"/>
        </w:rPr>
        <w:t>и</w:t>
      </w:r>
      <w:r w:rsidRPr="00E81A6E">
        <w:rPr>
          <w:rFonts w:ascii="Times New Roman" w:hAnsi="Times New Roman" w:cs="Times New Roman"/>
          <w:sz w:val="24"/>
          <w:szCs w:val="24"/>
          <w:lang w:val="ru-RU"/>
        </w:rPr>
        <w:t xml:space="preserve"> ОбП “Гробищни паркове” и ОП «Зоопарк - София»</w:t>
      </w:r>
      <w:r w:rsidRPr="00E81A6E">
        <w:rPr>
          <w:rFonts w:ascii="Times New Roman" w:hAnsi="Times New Roman" w:cs="Times New Roman"/>
          <w:sz w:val="24"/>
          <w:szCs w:val="24"/>
          <w:lang w:val="bg-BG"/>
        </w:rPr>
        <w:t>.</w:t>
      </w:r>
    </w:p>
    <w:p w14:paraId="1D9C8785"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Във функцията са включени </w:t>
      </w:r>
      <w:r w:rsidR="00D03B0B" w:rsidRPr="00E81A6E">
        <w:rPr>
          <w:rFonts w:ascii="Times New Roman" w:hAnsi="Times New Roman" w:cs="Times New Roman"/>
          <w:sz w:val="24"/>
          <w:szCs w:val="24"/>
          <w:lang w:val="ru-RU"/>
        </w:rPr>
        <w:t>6</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924</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805</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за заплати, осигурителни вноски и издръжка на четирите общински театъра, в това число 850,000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ru-RU"/>
        </w:rPr>
        <w:t xml:space="preserve"> прогнозни постъпления от техни собствени приходи за 20</w:t>
      </w:r>
      <w:r w:rsidR="00071FB5" w:rsidRPr="00E81A6E">
        <w:rPr>
          <w:rFonts w:ascii="Times New Roman" w:hAnsi="Times New Roman" w:cs="Times New Roman"/>
          <w:sz w:val="24"/>
          <w:szCs w:val="24"/>
          <w:lang w:val="ru-RU"/>
        </w:rPr>
        <w:t>2</w:t>
      </w:r>
      <w:r w:rsidR="00D93AA6" w:rsidRPr="00E81A6E">
        <w:rPr>
          <w:rFonts w:ascii="Times New Roman" w:hAnsi="Times New Roman" w:cs="Times New Roman"/>
          <w:sz w:val="24"/>
          <w:szCs w:val="24"/>
          <w:lang w:val="ru-RU"/>
        </w:rPr>
        <w:t>1</w:t>
      </w:r>
      <w:r w:rsidRPr="00E81A6E">
        <w:rPr>
          <w:rFonts w:ascii="Times New Roman" w:hAnsi="Times New Roman" w:cs="Times New Roman"/>
          <w:sz w:val="24"/>
          <w:szCs w:val="24"/>
          <w:lang w:val="ru-RU"/>
        </w:rPr>
        <w:t xml:space="preserve">г., тъй като театрите са второстепенни разпоредители с бюджетни кредити на делегиран бюджет. </w:t>
      </w:r>
    </w:p>
    <w:p w14:paraId="1907B676" w14:textId="77777777" w:rsidR="0037402B" w:rsidRPr="00E81A6E" w:rsidRDefault="0037402B"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Съгласно Решение №223/18.04.2020г. на Столичен общински съвет</w:t>
      </w:r>
      <w:r w:rsidR="009147E5" w:rsidRPr="00E81A6E">
        <w:rPr>
          <w:rFonts w:ascii="Times New Roman" w:hAnsi="Times New Roman" w:cs="Times New Roman"/>
          <w:sz w:val="24"/>
          <w:szCs w:val="24"/>
          <w:lang w:val="ru-RU"/>
        </w:rPr>
        <w:t>,</w:t>
      </w:r>
      <w:r w:rsidRPr="00E81A6E">
        <w:rPr>
          <w:rFonts w:ascii="Times New Roman" w:hAnsi="Times New Roman" w:cs="Times New Roman"/>
          <w:sz w:val="24"/>
          <w:szCs w:val="24"/>
          <w:lang w:val="ru-RU"/>
        </w:rPr>
        <w:t xml:space="preserve"> за новосъздадения Общински културен институт «Топлоцентрала»</w:t>
      </w:r>
      <w:r w:rsidR="009147E5"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 xml:space="preserve"> в проектобюджета са предвидени 300,000лв. като текущи разходи за функционирането на института.</w:t>
      </w:r>
    </w:p>
    <w:p w14:paraId="57EF88B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Разчетени са средства за програма “Култура” в размер на 1,</w:t>
      </w:r>
      <w:r w:rsidR="00D03B0B" w:rsidRPr="00E81A6E">
        <w:rPr>
          <w:rFonts w:ascii="Times New Roman" w:hAnsi="Times New Roman" w:cs="Times New Roman"/>
          <w:sz w:val="24"/>
          <w:szCs w:val="24"/>
          <w:lang w:val="ru-RU"/>
        </w:rPr>
        <w:t>5</w:t>
      </w:r>
      <w:r w:rsidR="005E2B72" w:rsidRPr="00E81A6E">
        <w:rPr>
          <w:rFonts w:ascii="Times New Roman" w:hAnsi="Times New Roman" w:cs="Times New Roman"/>
          <w:sz w:val="24"/>
          <w:szCs w:val="24"/>
          <w:lang w:val="ru-RU"/>
        </w:rPr>
        <w:t>35</w:t>
      </w:r>
      <w:r w:rsidRPr="00E81A6E">
        <w:rPr>
          <w:rFonts w:ascii="Times New Roman" w:hAnsi="Times New Roman" w:cs="Times New Roman"/>
          <w:sz w:val="24"/>
          <w:szCs w:val="24"/>
          <w:lang w:val="ru-RU"/>
        </w:rPr>
        <w:t>,</w:t>
      </w:r>
      <w:r w:rsidR="00D93AA6" w:rsidRPr="00E81A6E">
        <w:rPr>
          <w:rFonts w:ascii="Times New Roman" w:hAnsi="Times New Roman" w:cs="Times New Roman"/>
          <w:sz w:val="24"/>
          <w:szCs w:val="24"/>
          <w:lang w:val="ru-RU"/>
        </w:rPr>
        <w:t>0</w:t>
      </w:r>
      <w:r w:rsidRPr="00E81A6E">
        <w:rPr>
          <w:rFonts w:ascii="Times New Roman" w:hAnsi="Times New Roman" w:cs="Times New Roman"/>
          <w:sz w:val="24"/>
          <w:szCs w:val="24"/>
          <w:lang w:val="ru-RU"/>
        </w:rPr>
        <w:t>00</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p>
    <w:p w14:paraId="1B5D7329" w14:textId="77777777" w:rsidR="00BF42A3" w:rsidRPr="00E81A6E" w:rsidRDefault="00BF42A3" w:rsidP="00F55B06">
      <w:pPr>
        <w:spacing w:after="0" w:line="240" w:lineRule="auto"/>
        <w:ind w:firstLine="720"/>
        <w:contextualSpacing/>
        <w:jc w:val="both"/>
        <w:rPr>
          <w:rFonts w:ascii="Times New Roman" w:hAnsi="Times New Roman" w:cs="Times New Roman"/>
          <w:sz w:val="24"/>
          <w:szCs w:val="24"/>
          <w:lang w:val="bg-BG"/>
        </w:rPr>
      </w:pPr>
    </w:p>
    <w:p w14:paraId="6B179DB8" w14:textId="77777777" w:rsidR="006F5B92" w:rsidRPr="00E81A6E" w:rsidRDefault="006F5B92" w:rsidP="00F55B06">
      <w:pPr>
        <w:pStyle w:val="Heading3"/>
        <w:spacing w:before="0"/>
        <w:ind w:firstLine="720"/>
        <w:contextualSpacing/>
        <w:jc w:val="both"/>
        <w:rPr>
          <w:rFonts w:ascii="Times New Roman" w:hAnsi="Times New Roman" w:cs="Times New Roman"/>
          <w:color w:val="auto"/>
          <w:sz w:val="24"/>
          <w:szCs w:val="24"/>
          <w:lang w:val="bg-BG"/>
        </w:rPr>
      </w:pPr>
      <w:bookmarkStart w:id="117" w:name="_Toc409874557"/>
      <w:bookmarkStart w:id="118" w:name="_Toc499639786"/>
      <w:bookmarkStart w:id="119" w:name="_Toc500496082"/>
      <w:bookmarkStart w:id="120" w:name="_Toc500496428"/>
      <w:bookmarkStart w:id="121" w:name="_Toc503629638"/>
      <w:bookmarkStart w:id="122" w:name="_Toc61971782"/>
      <w:r w:rsidRPr="00E81A6E">
        <w:rPr>
          <w:rFonts w:ascii="Times New Roman" w:hAnsi="Times New Roman" w:cs="Times New Roman"/>
          <w:color w:val="auto"/>
          <w:sz w:val="24"/>
          <w:szCs w:val="24"/>
          <w:lang w:val="ru-RU"/>
        </w:rPr>
        <w:t>Функция “Икономически дейности и услуги”</w:t>
      </w:r>
      <w:bookmarkEnd w:id="117"/>
      <w:bookmarkEnd w:id="118"/>
      <w:bookmarkEnd w:id="119"/>
      <w:bookmarkEnd w:id="120"/>
      <w:r w:rsidRPr="00E81A6E">
        <w:rPr>
          <w:rFonts w:ascii="Times New Roman" w:hAnsi="Times New Roman" w:cs="Times New Roman"/>
          <w:color w:val="auto"/>
          <w:sz w:val="24"/>
          <w:szCs w:val="24"/>
          <w:lang w:val="bg-BG"/>
        </w:rPr>
        <w:t>- текущи разходи</w:t>
      </w:r>
      <w:bookmarkEnd w:id="121"/>
      <w:bookmarkEnd w:id="122"/>
    </w:p>
    <w:p w14:paraId="040A9408"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b/>
          <w:bCs/>
          <w:sz w:val="24"/>
          <w:szCs w:val="24"/>
          <w:lang w:val="ru-RU"/>
        </w:rPr>
        <w:t xml:space="preserve">Дейност 849 “Други дейности по транспорта” </w:t>
      </w:r>
      <w:r w:rsidRPr="00E81A6E">
        <w:rPr>
          <w:rFonts w:ascii="Times New Roman" w:hAnsi="Times New Roman" w:cs="Times New Roman"/>
          <w:b/>
          <w:bCs/>
          <w:sz w:val="24"/>
          <w:szCs w:val="24"/>
          <w:lang w:val="bg-BG"/>
        </w:rPr>
        <w:t>– текущи разходи</w:t>
      </w:r>
    </w:p>
    <w:p w14:paraId="24DDB7DF"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Общо за дейността са предвидени </w:t>
      </w:r>
      <w:r w:rsidRPr="00E81A6E">
        <w:rPr>
          <w:rFonts w:ascii="Times New Roman" w:hAnsi="Times New Roman" w:cs="Times New Roman"/>
          <w:b/>
          <w:bCs/>
          <w:sz w:val="24"/>
          <w:szCs w:val="24"/>
          <w:lang w:val="bg-BG"/>
        </w:rPr>
        <w:t>1</w:t>
      </w:r>
      <w:r w:rsidR="00D93AA6" w:rsidRPr="00E81A6E">
        <w:rPr>
          <w:rFonts w:ascii="Times New Roman" w:hAnsi="Times New Roman" w:cs="Times New Roman"/>
          <w:b/>
          <w:bCs/>
          <w:sz w:val="24"/>
          <w:szCs w:val="24"/>
          <w:lang w:val="bg-BG"/>
        </w:rPr>
        <w:t>45</w:t>
      </w:r>
      <w:r w:rsidRPr="00E81A6E">
        <w:rPr>
          <w:rFonts w:ascii="Times New Roman" w:hAnsi="Times New Roman" w:cs="Times New Roman"/>
          <w:b/>
          <w:bCs/>
          <w:sz w:val="24"/>
          <w:szCs w:val="24"/>
          <w:lang w:val="ru-RU"/>
        </w:rPr>
        <w:t>,</w:t>
      </w:r>
      <w:r w:rsidR="00D93AA6" w:rsidRPr="00E81A6E">
        <w:rPr>
          <w:rFonts w:ascii="Times New Roman" w:hAnsi="Times New Roman" w:cs="Times New Roman"/>
          <w:b/>
          <w:bCs/>
          <w:sz w:val="24"/>
          <w:szCs w:val="24"/>
          <w:lang w:val="ru-RU"/>
        </w:rPr>
        <w:t>0</w:t>
      </w:r>
      <w:r w:rsidRPr="00E81A6E">
        <w:rPr>
          <w:rFonts w:ascii="Times New Roman" w:hAnsi="Times New Roman" w:cs="Times New Roman"/>
          <w:b/>
          <w:bCs/>
          <w:sz w:val="24"/>
          <w:szCs w:val="24"/>
          <w:lang w:val="ru-RU"/>
        </w:rPr>
        <w:t>00,</w:t>
      </w:r>
      <w:r w:rsidRPr="00E81A6E">
        <w:rPr>
          <w:rFonts w:ascii="Times New Roman" w:hAnsi="Times New Roman" w:cs="Times New Roman"/>
          <w:b/>
          <w:bCs/>
          <w:sz w:val="24"/>
          <w:szCs w:val="24"/>
          <w:lang w:val="bg-BG"/>
        </w:rPr>
        <w:t>000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00B26384" w:rsidRPr="00E81A6E">
        <w:rPr>
          <w:rFonts w:ascii="Times New Roman" w:hAnsi="Times New Roman" w:cs="Times New Roman"/>
          <w:sz w:val="24"/>
          <w:szCs w:val="24"/>
          <w:lang w:val="ru-RU"/>
        </w:rPr>
        <w:t xml:space="preserve"> </w:t>
      </w:r>
      <w:r w:rsidRPr="00E81A6E">
        <w:rPr>
          <w:rFonts w:ascii="Times New Roman" w:hAnsi="Times New Roman" w:cs="Times New Roman"/>
          <w:sz w:val="24"/>
          <w:szCs w:val="24"/>
          <w:lang w:val="ru-RU"/>
        </w:rPr>
        <w:t>В това число:</w:t>
      </w:r>
    </w:p>
    <w:p w14:paraId="68E3ABFE" w14:textId="77777777" w:rsidR="006F5B92" w:rsidRPr="00E81A6E" w:rsidRDefault="006F5B92" w:rsidP="00350B12">
      <w:pPr>
        <w:pStyle w:val="ListParagraph"/>
        <w:numPr>
          <w:ilvl w:val="0"/>
          <w:numId w:val="3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i/>
          <w:iCs/>
          <w:sz w:val="24"/>
          <w:szCs w:val="24"/>
          <w:lang w:val="ru-RU"/>
        </w:rPr>
        <w:t xml:space="preserve">За заплащане частта от преференциални карти за пътуване в масовия градски транспорт на правоимащите, съгласно Наредба на Столична община, регламентираща безплатните и с намалени цени пътувания на определени категории граждани са предвидени </w:t>
      </w:r>
      <w:r w:rsidR="00D93AA6" w:rsidRPr="00E81A6E">
        <w:rPr>
          <w:rFonts w:ascii="Times New Roman" w:hAnsi="Times New Roman" w:cs="Times New Roman"/>
          <w:i/>
          <w:iCs/>
          <w:sz w:val="24"/>
          <w:szCs w:val="24"/>
          <w:lang w:val="ru-RU"/>
        </w:rPr>
        <w:t>75</w:t>
      </w:r>
      <w:r w:rsidRPr="00E81A6E">
        <w:rPr>
          <w:rFonts w:ascii="Times New Roman" w:hAnsi="Times New Roman" w:cs="Times New Roman"/>
          <w:i/>
          <w:iCs/>
          <w:sz w:val="24"/>
          <w:szCs w:val="24"/>
          <w:lang w:val="ru-RU"/>
        </w:rPr>
        <w:t>,000,000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r w:rsidRPr="00E81A6E">
        <w:rPr>
          <w:rFonts w:ascii="Times New Roman" w:hAnsi="Times New Roman" w:cs="Times New Roman"/>
          <w:i/>
          <w:iCs/>
          <w:sz w:val="24"/>
          <w:szCs w:val="24"/>
          <w:lang w:val="ru-RU"/>
        </w:rPr>
        <w:t>;</w:t>
      </w:r>
    </w:p>
    <w:p w14:paraId="014A2225" w14:textId="77777777" w:rsidR="006F5B92" w:rsidRPr="00E81A6E" w:rsidRDefault="006F5B92" w:rsidP="00350B12">
      <w:pPr>
        <w:pStyle w:val="ListParagraph"/>
        <w:numPr>
          <w:ilvl w:val="0"/>
          <w:numId w:val="38"/>
        </w:numPr>
        <w:spacing w:after="0" w:line="240" w:lineRule="auto"/>
        <w:contextualSpacing/>
        <w:jc w:val="both"/>
        <w:rPr>
          <w:rFonts w:ascii="Times New Roman" w:hAnsi="Times New Roman" w:cs="Times New Roman"/>
          <w:sz w:val="24"/>
          <w:szCs w:val="24"/>
          <w:lang w:val="ru-RU"/>
        </w:rPr>
      </w:pPr>
      <w:r w:rsidRPr="00E81A6E">
        <w:rPr>
          <w:rFonts w:ascii="Times New Roman" w:hAnsi="Times New Roman" w:cs="Times New Roman"/>
          <w:i/>
          <w:iCs/>
          <w:sz w:val="24"/>
          <w:szCs w:val="24"/>
          <w:lang w:val="ru-RU"/>
        </w:rPr>
        <w:t xml:space="preserve">За компенсации по Регламент № 1370 от 2007г. </w:t>
      </w:r>
      <w:r w:rsidR="00D93AA6" w:rsidRPr="00E81A6E">
        <w:rPr>
          <w:rFonts w:ascii="Times New Roman" w:hAnsi="Times New Roman" w:cs="Times New Roman"/>
          <w:i/>
          <w:iCs/>
          <w:sz w:val="24"/>
          <w:szCs w:val="24"/>
          <w:lang w:val="ru-RU"/>
        </w:rPr>
        <w:t>70</w:t>
      </w:r>
      <w:r w:rsidRPr="00E81A6E">
        <w:rPr>
          <w:rFonts w:ascii="Times New Roman" w:hAnsi="Times New Roman" w:cs="Times New Roman"/>
          <w:i/>
          <w:iCs/>
          <w:sz w:val="24"/>
          <w:szCs w:val="24"/>
          <w:lang w:val="ru-RU"/>
        </w:rPr>
        <w:t>,</w:t>
      </w:r>
      <w:r w:rsidR="00D93AA6" w:rsidRPr="00E81A6E">
        <w:rPr>
          <w:rFonts w:ascii="Times New Roman" w:hAnsi="Times New Roman" w:cs="Times New Roman"/>
          <w:i/>
          <w:iCs/>
          <w:sz w:val="24"/>
          <w:szCs w:val="24"/>
          <w:lang w:val="ru-RU"/>
        </w:rPr>
        <w:t>0</w:t>
      </w:r>
      <w:r w:rsidRPr="00E81A6E">
        <w:rPr>
          <w:rFonts w:ascii="Times New Roman" w:hAnsi="Times New Roman" w:cs="Times New Roman"/>
          <w:i/>
          <w:iCs/>
          <w:sz w:val="24"/>
          <w:szCs w:val="24"/>
          <w:lang w:val="ru-RU"/>
        </w:rPr>
        <w:t>00,000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140C8404" w14:textId="77777777" w:rsidR="00BF42A3" w:rsidRPr="00E81A6E" w:rsidRDefault="00BF42A3" w:rsidP="00BF42A3">
      <w:pPr>
        <w:pStyle w:val="ListParagraph"/>
        <w:spacing w:after="0" w:line="240" w:lineRule="auto"/>
        <w:contextualSpacing/>
        <w:jc w:val="both"/>
        <w:rPr>
          <w:rFonts w:ascii="Times New Roman" w:hAnsi="Times New Roman" w:cs="Times New Roman"/>
          <w:sz w:val="24"/>
          <w:szCs w:val="24"/>
          <w:lang w:val="ru-RU"/>
        </w:rPr>
      </w:pPr>
    </w:p>
    <w:p w14:paraId="3F314520" w14:textId="77777777" w:rsidR="006F5B92" w:rsidRPr="00E81A6E" w:rsidRDefault="006F5B92" w:rsidP="00F55B06">
      <w:pPr>
        <w:pStyle w:val="Heading4"/>
        <w:spacing w:before="0" w:line="240" w:lineRule="auto"/>
        <w:ind w:firstLine="720"/>
        <w:contextualSpacing/>
        <w:jc w:val="both"/>
        <w:rPr>
          <w:rFonts w:ascii="Times New Roman" w:hAnsi="Times New Roman" w:cs="Times New Roman"/>
          <w:color w:val="auto"/>
          <w:lang w:val="ru-RU"/>
        </w:rPr>
      </w:pPr>
      <w:r w:rsidRPr="00E81A6E">
        <w:rPr>
          <w:rFonts w:ascii="Times New Roman" w:hAnsi="Times New Roman" w:cs="Times New Roman"/>
          <w:color w:val="auto"/>
          <w:lang w:val="ru-RU"/>
        </w:rPr>
        <w:t>Група</w:t>
      </w:r>
      <w:r w:rsidR="00B26384" w:rsidRPr="00E81A6E">
        <w:rPr>
          <w:rFonts w:ascii="Times New Roman" w:hAnsi="Times New Roman" w:cs="Times New Roman"/>
          <w:color w:val="auto"/>
          <w:lang w:val="ru-RU"/>
        </w:rPr>
        <w:t xml:space="preserve"> </w:t>
      </w:r>
      <w:r w:rsidRPr="00E81A6E">
        <w:rPr>
          <w:rFonts w:ascii="Times New Roman" w:hAnsi="Times New Roman" w:cs="Times New Roman"/>
          <w:color w:val="auto"/>
          <w:lang w:val="ru-RU"/>
        </w:rPr>
        <w:t>- Селско стопанство, горско стопанство, лов и риболов</w:t>
      </w:r>
    </w:p>
    <w:p w14:paraId="6035C064"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bg-BG"/>
        </w:rPr>
      </w:pPr>
      <w:r w:rsidRPr="00E81A6E">
        <w:rPr>
          <w:rFonts w:ascii="Times New Roman" w:hAnsi="Times New Roman" w:cs="Times New Roman"/>
          <w:b/>
          <w:bCs/>
          <w:sz w:val="24"/>
          <w:szCs w:val="24"/>
          <w:lang w:val="ru-RU"/>
        </w:rPr>
        <w:t>Дейност 829 “Други дейности по селско стопанство”</w:t>
      </w:r>
      <w:r w:rsidRPr="00E81A6E">
        <w:rPr>
          <w:rFonts w:ascii="Times New Roman" w:hAnsi="Times New Roman" w:cs="Times New Roman"/>
          <w:b/>
          <w:bCs/>
          <w:sz w:val="24"/>
          <w:szCs w:val="24"/>
          <w:lang w:val="bg-BG"/>
        </w:rPr>
        <w:t xml:space="preserve"> – текущи разходи</w:t>
      </w:r>
    </w:p>
    <w:p w14:paraId="0922A3BC"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ru-RU"/>
        </w:rPr>
        <w:t>Разчетените средства са в размер на</w:t>
      </w:r>
      <w:r w:rsidRPr="00E81A6E">
        <w:rPr>
          <w:rFonts w:ascii="Times New Roman" w:hAnsi="Times New Roman" w:cs="Times New Roman"/>
          <w:sz w:val="24"/>
          <w:szCs w:val="24"/>
          <w:lang w:val="bg-BG"/>
        </w:rPr>
        <w:t xml:space="preserve"> </w:t>
      </w:r>
      <w:r w:rsidR="007C3D23" w:rsidRPr="00E81A6E">
        <w:rPr>
          <w:rFonts w:ascii="Times New Roman" w:hAnsi="Times New Roman" w:cs="Times New Roman"/>
          <w:b/>
          <w:sz w:val="24"/>
          <w:szCs w:val="24"/>
          <w:lang w:val="bg-BG"/>
        </w:rPr>
        <w:t>2</w:t>
      </w:r>
      <w:r w:rsidRPr="00E81A6E">
        <w:rPr>
          <w:rFonts w:ascii="Times New Roman" w:hAnsi="Times New Roman" w:cs="Times New Roman"/>
          <w:b/>
          <w:bCs/>
          <w:sz w:val="24"/>
          <w:szCs w:val="24"/>
          <w:lang w:val="bg-BG"/>
        </w:rPr>
        <w:t>,</w:t>
      </w:r>
      <w:r w:rsidR="007C3D23" w:rsidRPr="00E81A6E">
        <w:rPr>
          <w:rFonts w:ascii="Times New Roman" w:hAnsi="Times New Roman" w:cs="Times New Roman"/>
          <w:b/>
          <w:bCs/>
          <w:sz w:val="24"/>
          <w:szCs w:val="24"/>
          <w:lang w:val="bg-BG"/>
        </w:rPr>
        <w:t>0</w:t>
      </w:r>
      <w:r w:rsidR="00D93AA6" w:rsidRPr="00E81A6E">
        <w:rPr>
          <w:rFonts w:ascii="Times New Roman" w:hAnsi="Times New Roman" w:cs="Times New Roman"/>
          <w:b/>
          <w:bCs/>
          <w:sz w:val="24"/>
          <w:szCs w:val="24"/>
          <w:lang w:val="bg-BG"/>
        </w:rPr>
        <w:t>56</w:t>
      </w:r>
      <w:r w:rsidRPr="00E81A6E">
        <w:rPr>
          <w:rFonts w:ascii="Times New Roman" w:hAnsi="Times New Roman" w:cs="Times New Roman"/>
          <w:b/>
          <w:bCs/>
          <w:sz w:val="24"/>
          <w:szCs w:val="24"/>
          <w:lang w:val="bg-BG"/>
        </w:rPr>
        <w:t>,</w:t>
      </w:r>
      <w:r w:rsidR="00D93AA6" w:rsidRPr="00E81A6E">
        <w:rPr>
          <w:rFonts w:ascii="Times New Roman" w:hAnsi="Times New Roman" w:cs="Times New Roman"/>
          <w:b/>
          <w:bCs/>
          <w:sz w:val="24"/>
          <w:szCs w:val="24"/>
          <w:lang w:val="bg-BG"/>
        </w:rPr>
        <w:t>976</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sz w:val="24"/>
          <w:szCs w:val="24"/>
          <w:lang w:val="ru-RU"/>
        </w:rPr>
        <w:t xml:space="preserve"> В дейността са отразени средствата за заплати и издръжка на ОбП “Управление на общински земи и гори” 1,</w:t>
      </w:r>
      <w:r w:rsidR="007C3D23" w:rsidRPr="00E81A6E">
        <w:rPr>
          <w:rFonts w:ascii="Times New Roman" w:hAnsi="Times New Roman" w:cs="Times New Roman"/>
          <w:sz w:val="24"/>
          <w:szCs w:val="24"/>
          <w:lang w:val="ru-RU"/>
        </w:rPr>
        <w:t>4</w:t>
      </w:r>
      <w:r w:rsidR="00132608" w:rsidRPr="00E81A6E">
        <w:rPr>
          <w:rFonts w:ascii="Times New Roman" w:hAnsi="Times New Roman" w:cs="Times New Roman"/>
          <w:sz w:val="24"/>
          <w:szCs w:val="24"/>
          <w:lang w:val="ru-RU"/>
        </w:rPr>
        <w:t>48</w:t>
      </w:r>
      <w:r w:rsidRPr="00E81A6E">
        <w:rPr>
          <w:rFonts w:ascii="Times New Roman" w:hAnsi="Times New Roman" w:cs="Times New Roman"/>
          <w:sz w:val="24"/>
          <w:szCs w:val="24"/>
          <w:lang w:val="ru-RU"/>
        </w:rPr>
        <w:t>,</w:t>
      </w:r>
      <w:r w:rsidR="00132608" w:rsidRPr="00E81A6E">
        <w:rPr>
          <w:rFonts w:ascii="Times New Roman" w:hAnsi="Times New Roman" w:cs="Times New Roman"/>
          <w:sz w:val="24"/>
          <w:szCs w:val="24"/>
          <w:lang w:val="ru-RU"/>
        </w:rPr>
        <w:t>884</w:t>
      </w:r>
      <w:r w:rsidR="00B26384" w:rsidRPr="00E81A6E">
        <w:rPr>
          <w:rFonts w:ascii="Times New Roman" w:hAnsi="Times New Roman" w:cs="Times New Roman"/>
          <w:sz w:val="24"/>
          <w:szCs w:val="24"/>
          <w:lang w:val="ru-RU"/>
        </w:rPr>
        <w:t xml:space="preserve"> </w:t>
      </w:r>
      <w:r w:rsidR="008E5645" w:rsidRPr="00E81A6E">
        <w:rPr>
          <w:rFonts w:ascii="Times New Roman" w:hAnsi="Times New Roman" w:cs="Times New Roman"/>
          <w:sz w:val="24"/>
          <w:szCs w:val="24"/>
          <w:lang w:val="ru-RU"/>
        </w:rPr>
        <w:t>лв.</w:t>
      </w:r>
      <w:r w:rsidRPr="00E81A6E">
        <w:rPr>
          <w:rFonts w:ascii="Times New Roman" w:hAnsi="Times New Roman" w:cs="Times New Roman"/>
          <w:sz w:val="24"/>
          <w:szCs w:val="24"/>
          <w:lang w:val="bg-BG"/>
        </w:rPr>
        <w:t>;</w:t>
      </w:r>
      <w:r w:rsidRPr="00E81A6E">
        <w:rPr>
          <w:rFonts w:ascii="Times New Roman" w:hAnsi="Times New Roman" w:cs="Times New Roman"/>
          <w:sz w:val="24"/>
          <w:szCs w:val="24"/>
          <w:lang w:val="ru-RU"/>
        </w:rPr>
        <w:t xml:space="preserve"> за полски пазачи в районите, на чиято територия има земеделски земи, както и средства за обезпечаване дейността на дирекция “Общински земи, гори и поземлени отношения” </w:t>
      </w:r>
      <w:r w:rsidR="00132608" w:rsidRPr="00E81A6E">
        <w:rPr>
          <w:rFonts w:ascii="Times New Roman" w:hAnsi="Times New Roman" w:cs="Times New Roman"/>
          <w:sz w:val="24"/>
          <w:szCs w:val="24"/>
          <w:lang w:val="ru-RU"/>
        </w:rPr>
        <w:t>463</w:t>
      </w:r>
      <w:r w:rsidRPr="00E81A6E">
        <w:rPr>
          <w:rFonts w:ascii="Times New Roman" w:hAnsi="Times New Roman" w:cs="Times New Roman"/>
          <w:sz w:val="24"/>
          <w:szCs w:val="24"/>
          <w:lang w:val="ru-RU"/>
        </w:rPr>
        <w:t>,</w:t>
      </w:r>
      <w:r w:rsidR="00132608" w:rsidRPr="00E81A6E">
        <w:rPr>
          <w:rFonts w:ascii="Times New Roman" w:hAnsi="Times New Roman" w:cs="Times New Roman"/>
          <w:sz w:val="24"/>
          <w:szCs w:val="24"/>
          <w:lang w:val="ru-RU"/>
        </w:rPr>
        <w:t>6</w:t>
      </w:r>
      <w:r w:rsidRPr="00E81A6E">
        <w:rPr>
          <w:rFonts w:ascii="Times New Roman" w:hAnsi="Times New Roman" w:cs="Times New Roman"/>
          <w:sz w:val="24"/>
          <w:szCs w:val="24"/>
          <w:lang w:val="bg-BG"/>
        </w:rPr>
        <w:t>00</w:t>
      </w:r>
      <w:r w:rsidR="008E5645" w:rsidRPr="00E81A6E">
        <w:rPr>
          <w:rFonts w:ascii="Times New Roman" w:hAnsi="Times New Roman" w:cs="Times New Roman"/>
          <w:sz w:val="24"/>
          <w:szCs w:val="24"/>
          <w:lang w:val="ru-RU"/>
        </w:rPr>
        <w:t>лв.</w:t>
      </w:r>
    </w:p>
    <w:p w14:paraId="10F009E3"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b/>
          <w:bCs/>
          <w:sz w:val="24"/>
          <w:szCs w:val="24"/>
          <w:lang w:val="ru-RU"/>
        </w:rPr>
        <w:t>Дейност 875 - “Органи и дейности по приватизация”</w:t>
      </w:r>
      <w:r w:rsidRPr="00E81A6E">
        <w:rPr>
          <w:rFonts w:ascii="Times New Roman" w:hAnsi="Times New Roman" w:cs="Times New Roman"/>
          <w:b/>
          <w:bCs/>
          <w:sz w:val="24"/>
          <w:szCs w:val="24"/>
          <w:lang w:val="bg-BG"/>
        </w:rPr>
        <w:t xml:space="preserve"> – текущи разходи</w:t>
      </w:r>
      <w:r w:rsidRPr="00E81A6E">
        <w:rPr>
          <w:rFonts w:ascii="Times New Roman" w:hAnsi="Times New Roman" w:cs="Times New Roman"/>
          <w:b/>
          <w:bCs/>
          <w:sz w:val="24"/>
          <w:szCs w:val="24"/>
          <w:lang w:val="ru-RU"/>
        </w:rPr>
        <w:t xml:space="preserve"> </w:t>
      </w:r>
      <w:r w:rsidRPr="00E81A6E">
        <w:rPr>
          <w:rFonts w:ascii="Times New Roman" w:hAnsi="Times New Roman" w:cs="Times New Roman"/>
          <w:b/>
          <w:bCs/>
          <w:sz w:val="24"/>
          <w:szCs w:val="24"/>
          <w:lang w:val="bg-BG"/>
        </w:rPr>
        <w:t>3</w:t>
      </w:r>
      <w:r w:rsidRPr="00E81A6E">
        <w:rPr>
          <w:rFonts w:ascii="Times New Roman" w:hAnsi="Times New Roman" w:cs="Times New Roman"/>
          <w:b/>
          <w:bCs/>
          <w:sz w:val="24"/>
          <w:szCs w:val="24"/>
          <w:lang w:val="ru-RU"/>
        </w:rPr>
        <w:t>,</w:t>
      </w:r>
      <w:r w:rsidR="002B64AD" w:rsidRPr="00E81A6E">
        <w:rPr>
          <w:rFonts w:ascii="Times New Roman" w:hAnsi="Times New Roman" w:cs="Times New Roman"/>
          <w:b/>
          <w:bCs/>
          <w:sz w:val="24"/>
          <w:szCs w:val="24"/>
          <w:lang w:val="ru-RU"/>
        </w:rPr>
        <w:t>475</w:t>
      </w:r>
      <w:r w:rsidRPr="00E81A6E">
        <w:rPr>
          <w:rFonts w:ascii="Times New Roman" w:hAnsi="Times New Roman" w:cs="Times New Roman"/>
          <w:b/>
          <w:bCs/>
          <w:sz w:val="24"/>
          <w:szCs w:val="24"/>
          <w:lang w:val="ru-RU"/>
        </w:rPr>
        <w:t>,</w:t>
      </w:r>
      <w:r w:rsidR="0082113C" w:rsidRPr="00E81A6E">
        <w:rPr>
          <w:rFonts w:ascii="Times New Roman" w:hAnsi="Times New Roman" w:cs="Times New Roman"/>
          <w:b/>
          <w:bCs/>
          <w:sz w:val="24"/>
          <w:szCs w:val="24"/>
        </w:rPr>
        <w:t>2</w:t>
      </w:r>
      <w:r w:rsidR="002B64AD" w:rsidRPr="00E81A6E">
        <w:rPr>
          <w:rFonts w:ascii="Times New Roman" w:hAnsi="Times New Roman" w:cs="Times New Roman"/>
          <w:b/>
          <w:bCs/>
          <w:sz w:val="24"/>
          <w:szCs w:val="24"/>
          <w:lang w:val="bg-BG"/>
        </w:rPr>
        <w:t>0</w:t>
      </w:r>
      <w:r w:rsidR="0082113C" w:rsidRPr="00E81A6E">
        <w:rPr>
          <w:rFonts w:ascii="Times New Roman" w:hAnsi="Times New Roman" w:cs="Times New Roman"/>
          <w:b/>
          <w:bCs/>
          <w:sz w:val="24"/>
          <w:szCs w:val="24"/>
        </w:rPr>
        <w:t>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Тук</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са разчетени средствата за дейностите, финансирани за сметка на постъпленията от приватизация: заплати, осигурителни вноски и издръжка на Столичната агенция за приватизация, в изпълнение на разпоредбата на Закона за публичните финанси за включване на всички средства от приватизация в бюджета на общината.</w:t>
      </w:r>
    </w:p>
    <w:p w14:paraId="63B811D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bCs/>
          <w:sz w:val="24"/>
          <w:szCs w:val="24"/>
          <w:lang w:val="ru-RU"/>
        </w:rPr>
        <w:lastRenderedPageBreak/>
        <w:t xml:space="preserve">Дейност 878 - “Приюти за безстопанствени животни” </w:t>
      </w:r>
      <w:r w:rsidRPr="00E81A6E">
        <w:rPr>
          <w:rFonts w:ascii="Times New Roman" w:hAnsi="Times New Roman" w:cs="Times New Roman"/>
          <w:b/>
          <w:bCs/>
          <w:sz w:val="24"/>
          <w:szCs w:val="24"/>
          <w:lang w:val="bg-BG"/>
        </w:rPr>
        <w:t xml:space="preserve">– текущи разходи </w:t>
      </w:r>
      <w:r w:rsidRPr="00E81A6E">
        <w:rPr>
          <w:rFonts w:ascii="Times New Roman" w:hAnsi="Times New Roman" w:cs="Times New Roman"/>
          <w:b/>
          <w:bCs/>
          <w:sz w:val="24"/>
          <w:szCs w:val="24"/>
          <w:lang w:val="ru-RU"/>
        </w:rPr>
        <w:t>2,</w:t>
      </w:r>
      <w:r w:rsidR="002B64AD" w:rsidRPr="00E81A6E">
        <w:rPr>
          <w:rFonts w:ascii="Times New Roman" w:hAnsi="Times New Roman" w:cs="Times New Roman"/>
          <w:b/>
          <w:bCs/>
          <w:sz w:val="24"/>
          <w:szCs w:val="24"/>
          <w:lang w:val="ru-RU"/>
        </w:rPr>
        <w:t>722</w:t>
      </w:r>
      <w:r w:rsidRPr="00E81A6E">
        <w:rPr>
          <w:rFonts w:ascii="Times New Roman" w:hAnsi="Times New Roman" w:cs="Times New Roman"/>
          <w:b/>
          <w:bCs/>
          <w:sz w:val="24"/>
          <w:szCs w:val="24"/>
          <w:lang w:val="ru-RU"/>
        </w:rPr>
        <w:t>,</w:t>
      </w:r>
      <w:r w:rsidR="002B64AD" w:rsidRPr="00E81A6E">
        <w:rPr>
          <w:rFonts w:ascii="Times New Roman" w:hAnsi="Times New Roman" w:cs="Times New Roman"/>
          <w:b/>
          <w:bCs/>
          <w:sz w:val="24"/>
          <w:szCs w:val="24"/>
          <w:lang w:val="ru-RU"/>
        </w:rPr>
        <w:t>07</w:t>
      </w:r>
      <w:r w:rsidR="0082113C" w:rsidRPr="00E81A6E">
        <w:rPr>
          <w:rFonts w:ascii="Times New Roman" w:hAnsi="Times New Roman" w:cs="Times New Roman"/>
          <w:b/>
          <w:bCs/>
          <w:sz w:val="24"/>
          <w:szCs w:val="24"/>
        </w:rPr>
        <w:t>8</w:t>
      </w:r>
      <w:r w:rsidR="008E5645" w:rsidRPr="00E81A6E">
        <w:rPr>
          <w:rFonts w:ascii="Times New Roman" w:hAnsi="Times New Roman" w:cs="Times New Roman"/>
          <w:b/>
          <w:bCs/>
          <w:sz w:val="24"/>
          <w:szCs w:val="24"/>
          <w:lang w:val="ru-RU"/>
        </w:rPr>
        <w:t xml:space="preserve"> 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lang w:val="ru-RU"/>
        </w:rPr>
        <w:t xml:space="preserve">средствата </w:t>
      </w:r>
      <w:r w:rsidRPr="00E81A6E">
        <w:rPr>
          <w:rFonts w:ascii="Times New Roman" w:hAnsi="Times New Roman" w:cs="Times New Roman"/>
          <w:sz w:val="24"/>
          <w:szCs w:val="24"/>
          <w:lang w:val="bg-BG"/>
        </w:rPr>
        <w:t xml:space="preserve">са </w:t>
      </w:r>
      <w:r w:rsidRPr="00E81A6E">
        <w:rPr>
          <w:rFonts w:ascii="Times New Roman" w:hAnsi="Times New Roman" w:cs="Times New Roman"/>
          <w:sz w:val="24"/>
          <w:szCs w:val="24"/>
          <w:lang w:val="ru-RU"/>
        </w:rPr>
        <w:t>за заплати и издръжка на ОбП „Екоравновесие”</w:t>
      </w:r>
      <w:r w:rsidRPr="00E81A6E">
        <w:rPr>
          <w:rFonts w:ascii="Times New Roman" w:hAnsi="Times New Roman" w:cs="Times New Roman"/>
          <w:sz w:val="24"/>
          <w:szCs w:val="24"/>
          <w:lang w:val="bg-BG"/>
        </w:rPr>
        <w:t xml:space="preserve"> 2,</w:t>
      </w:r>
      <w:r w:rsidR="007C3D23" w:rsidRPr="00E81A6E">
        <w:rPr>
          <w:rFonts w:ascii="Times New Roman" w:hAnsi="Times New Roman" w:cs="Times New Roman"/>
          <w:sz w:val="24"/>
          <w:szCs w:val="24"/>
          <w:lang w:val="bg-BG"/>
        </w:rPr>
        <w:t>6</w:t>
      </w:r>
      <w:r w:rsidR="002B64AD" w:rsidRPr="00E81A6E">
        <w:rPr>
          <w:rFonts w:ascii="Times New Roman" w:hAnsi="Times New Roman" w:cs="Times New Roman"/>
          <w:sz w:val="24"/>
          <w:szCs w:val="24"/>
          <w:lang w:val="bg-BG"/>
        </w:rPr>
        <w:t>72</w:t>
      </w:r>
      <w:r w:rsidRPr="00E81A6E">
        <w:rPr>
          <w:rFonts w:ascii="Times New Roman" w:hAnsi="Times New Roman" w:cs="Times New Roman"/>
          <w:sz w:val="24"/>
          <w:szCs w:val="24"/>
          <w:lang w:val="bg-BG"/>
        </w:rPr>
        <w:t>,</w:t>
      </w:r>
      <w:r w:rsidR="002B64AD" w:rsidRPr="00E81A6E">
        <w:rPr>
          <w:rFonts w:ascii="Times New Roman" w:hAnsi="Times New Roman" w:cs="Times New Roman"/>
          <w:sz w:val="24"/>
          <w:szCs w:val="24"/>
          <w:lang w:val="bg-BG"/>
        </w:rPr>
        <w:t>07</w:t>
      </w:r>
      <w:r w:rsidR="0082113C" w:rsidRPr="00E81A6E">
        <w:rPr>
          <w:rFonts w:ascii="Times New Roman" w:hAnsi="Times New Roman" w:cs="Times New Roman"/>
          <w:sz w:val="24"/>
          <w:szCs w:val="24"/>
        </w:rPr>
        <w:t>8</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ru-RU"/>
        </w:rPr>
        <w:t>, в това число средства за издръжка на приют за безстопанствени кучета</w:t>
      </w:r>
      <w:r w:rsidR="00EC3591" w:rsidRPr="00E81A6E">
        <w:rPr>
          <w:rFonts w:ascii="Times New Roman" w:hAnsi="Times New Roman" w:cs="Times New Roman"/>
          <w:sz w:val="24"/>
          <w:szCs w:val="24"/>
          <w:lang w:val="ru-RU"/>
        </w:rPr>
        <w:t>.</w:t>
      </w:r>
      <w:r w:rsidRPr="00E81A6E">
        <w:rPr>
          <w:rFonts w:ascii="Times New Roman" w:hAnsi="Times New Roman" w:cs="Times New Roman"/>
          <w:sz w:val="24"/>
          <w:szCs w:val="24"/>
          <w:lang w:val="bg-BG"/>
        </w:rPr>
        <w:t xml:space="preserve"> </w:t>
      </w:r>
      <w:r w:rsidR="00EC3591" w:rsidRPr="00E81A6E">
        <w:rPr>
          <w:rFonts w:ascii="Times New Roman" w:hAnsi="Times New Roman" w:cs="Times New Roman"/>
          <w:sz w:val="24"/>
          <w:szCs w:val="24"/>
          <w:lang w:val="bg-BG"/>
        </w:rPr>
        <w:t>З</w:t>
      </w:r>
      <w:r w:rsidRPr="00E81A6E">
        <w:rPr>
          <w:rFonts w:ascii="Times New Roman" w:hAnsi="Times New Roman" w:cs="Times New Roman"/>
          <w:sz w:val="24"/>
          <w:szCs w:val="24"/>
          <w:lang w:val="bg-BG"/>
        </w:rPr>
        <w:t xml:space="preserve">а други </w:t>
      </w:r>
      <w:r w:rsidR="00EC3591" w:rsidRPr="00E81A6E">
        <w:rPr>
          <w:rFonts w:ascii="Times New Roman" w:hAnsi="Times New Roman" w:cs="Times New Roman"/>
          <w:sz w:val="24"/>
          <w:szCs w:val="24"/>
          <w:lang w:val="bg-BG"/>
        </w:rPr>
        <w:t xml:space="preserve">разходи </w:t>
      </w:r>
      <w:r w:rsidR="002B64AD" w:rsidRPr="00E81A6E">
        <w:rPr>
          <w:rFonts w:ascii="Times New Roman" w:hAnsi="Times New Roman" w:cs="Times New Roman"/>
          <w:sz w:val="24"/>
          <w:szCs w:val="24"/>
          <w:lang w:val="bg-BG"/>
        </w:rPr>
        <w:t>50</w:t>
      </w:r>
      <w:r w:rsidRPr="00E81A6E">
        <w:rPr>
          <w:rFonts w:ascii="Times New Roman" w:hAnsi="Times New Roman" w:cs="Times New Roman"/>
          <w:sz w:val="24"/>
          <w:szCs w:val="24"/>
          <w:lang w:val="bg-BG"/>
        </w:rPr>
        <w:t>,</w:t>
      </w:r>
      <w:r w:rsidR="002B64AD" w:rsidRPr="00E81A6E">
        <w:rPr>
          <w:rFonts w:ascii="Times New Roman" w:hAnsi="Times New Roman" w:cs="Times New Roman"/>
          <w:sz w:val="24"/>
          <w:szCs w:val="24"/>
          <w:lang w:val="bg-BG"/>
        </w:rPr>
        <w:t>0</w:t>
      </w:r>
      <w:r w:rsidRPr="00E81A6E">
        <w:rPr>
          <w:rFonts w:ascii="Times New Roman" w:hAnsi="Times New Roman" w:cs="Times New Roman"/>
          <w:sz w:val="24"/>
          <w:szCs w:val="24"/>
          <w:lang w:val="bg-BG"/>
        </w:rPr>
        <w:t>00</w:t>
      </w:r>
      <w:r w:rsidR="00B26384" w:rsidRPr="00E81A6E">
        <w:rPr>
          <w:rFonts w:ascii="Times New Roman" w:hAnsi="Times New Roman" w:cs="Times New Roman"/>
          <w:sz w:val="24"/>
          <w:szCs w:val="24"/>
          <w:lang w:val="bg-BG"/>
        </w:rPr>
        <w:t xml:space="preserve"> </w:t>
      </w:r>
      <w:r w:rsidR="008E5645" w:rsidRPr="00E81A6E">
        <w:rPr>
          <w:rFonts w:ascii="Times New Roman" w:hAnsi="Times New Roman" w:cs="Times New Roman"/>
          <w:sz w:val="24"/>
          <w:szCs w:val="24"/>
          <w:lang w:val="bg-BG"/>
        </w:rPr>
        <w:t>лв.</w:t>
      </w:r>
      <w:r w:rsidRPr="00E81A6E">
        <w:rPr>
          <w:rFonts w:ascii="Times New Roman" w:hAnsi="Times New Roman" w:cs="Times New Roman"/>
          <w:sz w:val="24"/>
          <w:szCs w:val="24"/>
          <w:lang w:val="ru-RU"/>
        </w:rPr>
        <w:t xml:space="preserve"> </w:t>
      </w:r>
    </w:p>
    <w:p w14:paraId="27917724"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И през 20</w:t>
      </w:r>
      <w:r w:rsidR="00A17A73" w:rsidRPr="00E81A6E">
        <w:rPr>
          <w:rFonts w:ascii="Times New Roman" w:hAnsi="Times New Roman" w:cs="Times New Roman"/>
          <w:sz w:val="24"/>
          <w:szCs w:val="24"/>
          <w:lang w:val="bg-BG" w:eastAsia="en-US"/>
        </w:rPr>
        <w:t>2</w:t>
      </w:r>
      <w:r w:rsidR="002B64AD" w:rsidRPr="00E81A6E">
        <w:rPr>
          <w:rFonts w:ascii="Times New Roman" w:hAnsi="Times New Roman" w:cs="Times New Roman"/>
          <w:sz w:val="24"/>
          <w:szCs w:val="24"/>
          <w:lang w:val="bg-BG" w:eastAsia="en-US"/>
        </w:rPr>
        <w:t>1</w:t>
      </w:r>
      <w:r w:rsidRPr="00E81A6E">
        <w:rPr>
          <w:rFonts w:ascii="Times New Roman" w:hAnsi="Times New Roman" w:cs="Times New Roman"/>
          <w:sz w:val="24"/>
          <w:szCs w:val="24"/>
          <w:lang w:val="bg-BG" w:eastAsia="en-US"/>
        </w:rPr>
        <w:t xml:space="preserve"> година приоритет ще остане овладяването и намаляването на популацията от безстопанствени кучета на територията на Столична община, в това число прилагане на хуманни методи, в съответствие с националното и международното законодателство, подобряване на материалната база в общинските приюти за безстопанствени кучета, провеждане на </w:t>
      </w:r>
      <w:r w:rsidRPr="00E81A6E">
        <w:rPr>
          <w:rFonts w:ascii="Times New Roman" w:hAnsi="Times New Roman" w:cs="Times New Roman"/>
          <w:sz w:val="24"/>
          <w:szCs w:val="24"/>
          <w:lang w:val="bg-BG"/>
        </w:rPr>
        <w:t>образователно-информационни кампании, насочени към запознаване на обществеността с ползите от осиновяването на безстопанствени кучета и кастрацията и регистрацията на животни, п</w:t>
      </w:r>
      <w:r w:rsidRPr="00E81A6E">
        <w:rPr>
          <w:rFonts w:ascii="Times New Roman" w:hAnsi="Times New Roman" w:cs="Times New Roman"/>
          <w:sz w:val="24"/>
          <w:szCs w:val="24"/>
          <w:lang w:val="bg-BG" w:eastAsia="en-US"/>
        </w:rPr>
        <w:t xml:space="preserve">ровеждане на </w:t>
      </w:r>
      <w:r w:rsidRPr="00E81A6E">
        <w:rPr>
          <w:rFonts w:ascii="Times New Roman" w:hAnsi="Times New Roman" w:cs="Times New Roman"/>
          <w:sz w:val="24"/>
          <w:szCs w:val="24"/>
          <w:lang w:val="bg-BG"/>
        </w:rPr>
        <w:t>кампании за кастрация, ваксинация, обезпаразитяване и идентификация с микрочип на домашни (дворни) кучета</w:t>
      </w:r>
      <w:r w:rsidRPr="00E81A6E">
        <w:rPr>
          <w:rFonts w:ascii="Times New Roman" w:hAnsi="Times New Roman" w:cs="Times New Roman"/>
          <w:sz w:val="24"/>
          <w:szCs w:val="24"/>
          <w:lang w:val="bg-BG" w:eastAsia="en-US"/>
        </w:rPr>
        <w:t xml:space="preserve">. </w:t>
      </w:r>
    </w:p>
    <w:p w14:paraId="12947A98"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b/>
          <w:bCs/>
          <w:sz w:val="24"/>
          <w:szCs w:val="24"/>
          <w:lang w:val="ru-RU"/>
        </w:rPr>
        <w:t>Дейност 832 - “Ремонт и поддържане на пътищата”</w:t>
      </w:r>
      <w:r w:rsidR="00B26384" w:rsidRPr="00E81A6E">
        <w:rPr>
          <w:rFonts w:ascii="Times New Roman" w:hAnsi="Times New Roman" w:cs="Times New Roman"/>
          <w:b/>
          <w:bCs/>
          <w:sz w:val="24"/>
          <w:szCs w:val="24"/>
          <w:lang w:val="ru-RU"/>
        </w:rPr>
        <w:t xml:space="preserve"> </w:t>
      </w:r>
    </w:p>
    <w:p w14:paraId="652FDCE1" w14:textId="77777777" w:rsidR="006F5B92" w:rsidRPr="00E81A6E" w:rsidRDefault="006F5B92" w:rsidP="00350B12">
      <w:pPr>
        <w:pStyle w:val="ListParagraph"/>
        <w:numPr>
          <w:ilvl w:val="0"/>
          <w:numId w:val="39"/>
        </w:numPr>
        <w:spacing w:after="0" w:line="240" w:lineRule="auto"/>
        <w:contextualSpacing/>
        <w:jc w:val="both"/>
        <w:rPr>
          <w:rFonts w:ascii="Times New Roman" w:hAnsi="Times New Roman" w:cs="Times New Roman"/>
          <w:i/>
          <w:iCs/>
          <w:sz w:val="24"/>
          <w:szCs w:val="24"/>
          <w:lang w:val="ru-RU"/>
        </w:rPr>
      </w:pPr>
      <w:r w:rsidRPr="00E81A6E">
        <w:rPr>
          <w:rFonts w:ascii="Times New Roman" w:hAnsi="Times New Roman" w:cs="Times New Roman"/>
          <w:b/>
          <w:bCs/>
          <w:i/>
          <w:iCs/>
          <w:sz w:val="24"/>
          <w:szCs w:val="24"/>
          <w:lang w:val="ru-RU"/>
        </w:rPr>
        <w:t xml:space="preserve">текущи разходи </w:t>
      </w:r>
      <w:r w:rsidR="00A17A73" w:rsidRPr="00E81A6E">
        <w:rPr>
          <w:rFonts w:ascii="Times New Roman" w:hAnsi="Times New Roman" w:cs="Times New Roman"/>
          <w:b/>
          <w:bCs/>
          <w:i/>
          <w:iCs/>
          <w:sz w:val="24"/>
          <w:szCs w:val="24"/>
          <w:lang w:val="ru-RU"/>
        </w:rPr>
        <w:t>9</w:t>
      </w:r>
      <w:r w:rsidRPr="00E81A6E">
        <w:rPr>
          <w:rFonts w:ascii="Times New Roman" w:hAnsi="Times New Roman" w:cs="Times New Roman"/>
          <w:b/>
          <w:bCs/>
          <w:i/>
          <w:iCs/>
          <w:sz w:val="24"/>
          <w:szCs w:val="24"/>
          <w:lang w:val="ru-RU"/>
        </w:rPr>
        <w:t>,300,</w:t>
      </w:r>
      <w:r w:rsidRPr="00E81A6E">
        <w:rPr>
          <w:rFonts w:ascii="Times New Roman" w:hAnsi="Times New Roman" w:cs="Times New Roman"/>
          <w:b/>
          <w:bCs/>
          <w:i/>
          <w:iCs/>
          <w:sz w:val="24"/>
          <w:szCs w:val="24"/>
          <w:lang w:val="bg-BG"/>
        </w:rPr>
        <w:t>0</w:t>
      </w:r>
      <w:r w:rsidRPr="00E81A6E">
        <w:rPr>
          <w:rFonts w:ascii="Times New Roman" w:hAnsi="Times New Roman" w:cs="Times New Roman"/>
          <w:b/>
          <w:bCs/>
          <w:i/>
          <w:iCs/>
          <w:sz w:val="24"/>
          <w:szCs w:val="24"/>
          <w:lang w:val="ru-RU"/>
        </w:rPr>
        <w:t>00</w:t>
      </w:r>
      <w:r w:rsidR="00B26384" w:rsidRPr="00E81A6E">
        <w:rPr>
          <w:rFonts w:ascii="Times New Roman" w:hAnsi="Times New Roman" w:cs="Times New Roman"/>
          <w:b/>
          <w:bCs/>
          <w:i/>
          <w:iCs/>
          <w:sz w:val="24"/>
          <w:szCs w:val="24"/>
          <w:lang w:val="ru-RU"/>
        </w:rPr>
        <w:t xml:space="preserve"> </w:t>
      </w:r>
      <w:r w:rsidR="008E5645" w:rsidRPr="00E81A6E">
        <w:rPr>
          <w:rFonts w:ascii="Times New Roman" w:hAnsi="Times New Roman" w:cs="Times New Roman"/>
          <w:b/>
          <w:bCs/>
          <w:i/>
          <w:iCs/>
          <w:sz w:val="24"/>
          <w:szCs w:val="24"/>
          <w:lang w:val="ru-RU"/>
        </w:rPr>
        <w:t>лв.</w:t>
      </w:r>
      <w:r w:rsidRPr="00E81A6E">
        <w:rPr>
          <w:rFonts w:ascii="Times New Roman" w:hAnsi="Times New Roman" w:cs="Times New Roman"/>
          <w:b/>
          <w:bCs/>
          <w:i/>
          <w:iCs/>
          <w:sz w:val="24"/>
          <w:szCs w:val="24"/>
          <w:lang w:val="ru-RU"/>
        </w:rPr>
        <w:t>,</w:t>
      </w:r>
      <w:r w:rsidRPr="00E81A6E">
        <w:rPr>
          <w:rFonts w:ascii="Times New Roman" w:hAnsi="Times New Roman" w:cs="Times New Roman"/>
          <w:i/>
          <w:iCs/>
          <w:sz w:val="24"/>
          <w:szCs w:val="24"/>
          <w:lang w:val="ru-RU"/>
        </w:rPr>
        <w:t xml:space="preserve"> от тях държавен трансфер за зимно поддържане на пътища </w:t>
      </w:r>
      <w:r w:rsidR="002B64AD" w:rsidRPr="00E81A6E">
        <w:rPr>
          <w:rFonts w:ascii="Times New Roman" w:hAnsi="Times New Roman" w:cs="Times New Roman"/>
          <w:i/>
          <w:iCs/>
          <w:sz w:val="24"/>
          <w:szCs w:val="24"/>
          <w:lang w:val="ru-RU"/>
        </w:rPr>
        <w:t>991</w:t>
      </w:r>
      <w:r w:rsidRPr="00E81A6E">
        <w:rPr>
          <w:rFonts w:ascii="Times New Roman" w:hAnsi="Times New Roman" w:cs="Times New Roman"/>
          <w:i/>
          <w:iCs/>
          <w:sz w:val="24"/>
          <w:szCs w:val="24"/>
          <w:lang w:val="bg-BG"/>
        </w:rPr>
        <w:t>,</w:t>
      </w:r>
      <w:r w:rsidR="002B64AD" w:rsidRPr="00E81A6E">
        <w:rPr>
          <w:rFonts w:ascii="Times New Roman" w:hAnsi="Times New Roman" w:cs="Times New Roman"/>
          <w:i/>
          <w:iCs/>
          <w:sz w:val="24"/>
          <w:szCs w:val="24"/>
          <w:lang w:val="bg-BG"/>
        </w:rPr>
        <w:t>3</w:t>
      </w:r>
      <w:r w:rsidRPr="00E81A6E">
        <w:rPr>
          <w:rFonts w:ascii="Times New Roman" w:hAnsi="Times New Roman" w:cs="Times New Roman"/>
          <w:i/>
          <w:iCs/>
          <w:sz w:val="24"/>
          <w:szCs w:val="24"/>
          <w:lang w:val="bg-BG"/>
        </w:rPr>
        <w:t>00</w:t>
      </w:r>
      <w:r w:rsidR="00B26384" w:rsidRPr="00E81A6E">
        <w:rPr>
          <w:rFonts w:ascii="Times New Roman" w:hAnsi="Times New Roman" w:cs="Times New Roman"/>
          <w:i/>
          <w:iCs/>
          <w:sz w:val="24"/>
          <w:szCs w:val="24"/>
          <w:lang w:val="ru-RU"/>
        </w:rPr>
        <w:t xml:space="preserve"> </w:t>
      </w:r>
      <w:r w:rsidR="008E5645" w:rsidRPr="00E81A6E">
        <w:rPr>
          <w:rFonts w:ascii="Times New Roman" w:hAnsi="Times New Roman" w:cs="Times New Roman"/>
          <w:i/>
          <w:iCs/>
          <w:sz w:val="24"/>
          <w:szCs w:val="24"/>
          <w:lang w:val="ru-RU"/>
        </w:rPr>
        <w:t>лв.</w:t>
      </w:r>
    </w:p>
    <w:p w14:paraId="78397E66"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b/>
          <w:bCs/>
          <w:sz w:val="24"/>
          <w:szCs w:val="24"/>
          <w:lang w:val="ru-RU"/>
        </w:rPr>
        <w:t xml:space="preserve">Дейност 898 “Други дейности по икономиката”- </w:t>
      </w:r>
      <w:r w:rsidRPr="00E81A6E">
        <w:rPr>
          <w:rFonts w:ascii="Times New Roman" w:hAnsi="Times New Roman" w:cs="Times New Roman"/>
          <w:b/>
          <w:bCs/>
          <w:sz w:val="24"/>
          <w:szCs w:val="24"/>
          <w:lang w:val="bg-BG"/>
        </w:rPr>
        <w:t>текущи разходи</w:t>
      </w:r>
      <w:r w:rsidRPr="00E81A6E">
        <w:rPr>
          <w:rFonts w:ascii="Times New Roman" w:hAnsi="Times New Roman" w:cs="Times New Roman"/>
          <w:b/>
          <w:bCs/>
          <w:sz w:val="24"/>
          <w:szCs w:val="24"/>
          <w:lang w:val="ru-RU"/>
        </w:rPr>
        <w:t xml:space="preserve"> </w:t>
      </w:r>
      <w:r w:rsidRPr="00E81A6E">
        <w:rPr>
          <w:rFonts w:ascii="Times New Roman" w:hAnsi="Times New Roman" w:cs="Times New Roman"/>
          <w:b/>
          <w:bCs/>
          <w:sz w:val="24"/>
          <w:szCs w:val="24"/>
          <w:lang w:val="bg-BG"/>
        </w:rPr>
        <w:t>1,</w:t>
      </w:r>
      <w:r w:rsidR="002B64AD" w:rsidRPr="00E81A6E">
        <w:rPr>
          <w:rFonts w:ascii="Times New Roman" w:hAnsi="Times New Roman" w:cs="Times New Roman"/>
          <w:b/>
          <w:bCs/>
          <w:sz w:val="24"/>
          <w:szCs w:val="24"/>
          <w:lang w:val="bg-BG"/>
        </w:rPr>
        <w:t>528</w:t>
      </w:r>
      <w:r w:rsidRPr="00E81A6E">
        <w:rPr>
          <w:rFonts w:ascii="Times New Roman" w:hAnsi="Times New Roman" w:cs="Times New Roman"/>
          <w:b/>
          <w:bCs/>
          <w:sz w:val="24"/>
          <w:szCs w:val="24"/>
          <w:lang w:val="ru-RU"/>
        </w:rPr>
        <w:t>,</w:t>
      </w:r>
      <w:r w:rsidR="002B64AD" w:rsidRPr="00E81A6E">
        <w:rPr>
          <w:rFonts w:ascii="Times New Roman" w:hAnsi="Times New Roman" w:cs="Times New Roman"/>
          <w:b/>
          <w:bCs/>
          <w:sz w:val="24"/>
          <w:szCs w:val="24"/>
          <w:lang w:val="ru-RU"/>
        </w:rPr>
        <w:t>348</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r w:rsidRPr="00E81A6E">
        <w:rPr>
          <w:rFonts w:ascii="Times New Roman" w:hAnsi="Times New Roman" w:cs="Times New Roman"/>
          <w:b/>
          <w:bCs/>
          <w:sz w:val="24"/>
          <w:szCs w:val="24"/>
          <w:lang w:val="ru-RU"/>
        </w:rPr>
        <w:t xml:space="preserve"> </w:t>
      </w:r>
      <w:r w:rsidRPr="00E81A6E">
        <w:rPr>
          <w:rFonts w:ascii="Times New Roman" w:hAnsi="Times New Roman" w:cs="Times New Roman"/>
          <w:sz w:val="24"/>
          <w:szCs w:val="24"/>
        </w:rPr>
        <w:t>В това число:</w:t>
      </w:r>
    </w:p>
    <w:p w14:paraId="50B30704" w14:textId="77777777" w:rsidR="006F5B92" w:rsidRPr="00E81A6E" w:rsidRDefault="006F5B92" w:rsidP="00350B12">
      <w:pPr>
        <w:pStyle w:val="ListParagraph"/>
        <w:numPr>
          <w:ilvl w:val="0"/>
          <w:numId w:val="3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 заплати </w:t>
      </w:r>
      <w:r w:rsidR="000026AF" w:rsidRPr="00E81A6E">
        <w:rPr>
          <w:rFonts w:ascii="Times New Roman" w:hAnsi="Times New Roman" w:cs="Times New Roman"/>
          <w:i/>
          <w:iCs/>
          <w:sz w:val="24"/>
          <w:szCs w:val="24"/>
        </w:rPr>
        <w:t>1,</w:t>
      </w:r>
      <w:r w:rsidR="002B64AD" w:rsidRPr="00E81A6E">
        <w:rPr>
          <w:rFonts w:ascii="Times New Roman" w:hAnsi="Times New Roman" w:cs="Times New Roman"/>
          <w:i/>
          <w:iCs/>
          <w:sz w:val="24"/>
          <w:szCs w:val="24"/>
          <w:lang w:val="bg-BG"/>
        </w:rPr>
        <w:t>132</w:t>
      </w:r>
      <w:r w:rsidRPr="00E81A6E">
        <w:rPr>
          <w:rFonts w:ascii="Times New Roman" w:hAnsi="Times New Roman" w:cs="Times New Roman"/>
          <w:i/>
          <w:iCs/>
          <w:sz w:val="24"/>
          <w:szCs w:val="24"/>
        </w:rPr>
        <w:t>,</w:t>
      </w:r>
      <w:r w:rsidR="002B64AD" w:rsidRPr="00E81A6E">
        <w:rPr>
          <w:rFonts w:ascii="Times New Roman" w:hAnsi="Times New Roman" w:cs="Times New Roman"/>
          <w:i/>
          <w:iCs/>
          <w:sz w:val="24"/>
          <w:szCs w:val="24"/>
          <w:lang w:val="bg-BG"/>
        </w:rPr>
        <w:t>160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p>
    <w:p w14:paraId="7F20F6F2" w14:textId="77777777" w:rsidR="006F5B92" w:rsidRPr="00E81A6E" w:rsidRDefault="006F5B92" w:rsidP="00350B12">
      <w:pPr>
        <w:pStyle w:val="ListParagraph"/>
        <w:numPr>
          <w:ilvl w:val="0"/>
          <w:numId w:val="3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 осигурителни вноски </w:t>
      </w:r>
      <w:r w:rsidR="000026AF" w:rsidRPr="00E81A6E">
        <w:rPr>
          <w:rFonts w:ascii="Times New Roman" w:hAnsi="Times New Roman" w:cs="Times New Roman"/>
          <w:i/>
          <w:iCs/>
          <w:sz w:val="24"/>
          <w:szCs w:val="24"/>
        </w:rPr>
        <w:t>2</w:t>
      </w:r>
      <w:r w:rsidR="002B64AD" w:rsidRPr="00E81A6E">
        <w:rPr>
          <w:rFonts w:ascii="Times New Roman" w:hAnsi="Times New Roman" w:cs="Times New Roman"/>
          <w:i/>
          <w:iCs/>
          <w:sz w:val="24"/>
          <w:szCs w:val="24"/>
          <w:lang w:val="bg-BG"/>
        </w:rPr>
        <w:t>19</w:t>
      </w:r>
      <w:r w:rsidRPr="00E81A6E">
        <w:rPr>
          <w:rFonts w:ascii="Times New Roman" w:hAnsi="Times New Roman" w:cs="Times New Roman"/>
          <w:i/>
          <w:iCs/>
          <w:sz w:val="24"/>
          <w:szCs w:val="24"/>
        </w:rPr>
        <w:t>,</w:t>
      </w:r>
      <w:r w:rsidR="002B64AD" w:rsidRPr="00E81A6E">
        <w:rPr>
          <w:rFonts w:ascii="Times New Roman" w:hAnsi="Times New Roman" w:cs="Times New Roman"/>
          <w:i/>
          <w:iCs/>
          <w:sz w:val="24"/>
          <w:szCs w:val="24"/>
          <w:lang w:val="bg-BG"/>
        </w:rPr>
        <w:t>488</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r w:rsidRPr="00E81A6E">
        <w:rPr>
          <w:rFonts w:ascii="Times New Roman" w:hAnsi="Times New Roman" w:cs="Times New Roman"/>
          <w:i/>
          <w:iCs/>
          <w:sz w:val="24"/>
          <w:szCs w:val="24"/>
        </w:rPr>
        <w:t xml:space="preserve"> </w:t>
      </w:r>
    </w:p>
    <w:p w14:paraId="2EAEA198" w14:textId="77777777" w:rsidR="00473ADE" w:rsidRPr="00E81A6E" w:rsidRDefault="006F5B92" w:rsidP="00350B12">
      <w:pPr>
        <w:pStyle w:val="ListParagraph"/>
        <w:numPr>
          <w:ilvl w:val="0"/>
          <w:numId w:val="39"/>
        </w:numPr>
        <w:spacing w:after="0" w:line="240" w:lineRule="auto"/>
        <w:contextualSpacing/>
        <w:jc w:val="both"/>
        <w:rPr>
          <w:rFonts w:ascii="Times New Roman" w:hAnsi="Times New Roman" w:cs="Times New Roman"/>
          <w:i/>
          <w:iCs/>
          <w:sz w:val="24"/>
          <w:szCs w:val="24"/>
        </w:rPr>
      </w:pPr>
      <w:r w:rsidRPr="00E81A6E">
        <w:rPr>
          <w:rFonts w:ascii="Times New Roman" w:hAnsi="Times New Roman" w:cs="Times New Roman"/>
          <w:i/>
          <w:iCs/>
          <w:sz w:val="24"/>
          <w:szCs w:val="24"/>
        </w:rPr>
        <w:t xml:space="preserve">за издръжка </w:t>
      </w:r>
      <w:r w:rsidRPr="00E81A6E">
        <w:rPr>
          <w:rFonts w:ascii="Times New Roman" w:hAnsi="Times New Roman" w:cs="Times New Roman"/>
          <w:i/>
          <w:iCs/>
          <w:sz w:val="24"/>
          <w:szCs w:val="24"/>
          <w:lang w:val="bg-BG"/>
        </w:rPr>
        <w:t>1</w:t>
      </w:r>
      <w:r w:rsidR="002B64AD" w:rsidRPr="00E81A6E">
        <w:rPr>
          <w:rFonts w:ascii="Times New Roman" w:hAnsi="Times New Roman" w:cs="Times New Roman"/>
          <w:i/>
          <w:iCs/>
          <w:sz w:val="24"/>
          <w:szCs w:val="24"/>
          <w:lang w:val="bg-BG"/>
        </w:rPr>
        <w:t>76</w:t>
      </w:r>
      <w:r w:rsidRPr="00E81A6E">
        <w:rPr>
          <w:rFonts w:ascii="Times New Roman" w:hAnsi="Times New Roman" w:cs="Times New Roman"/>
          <w:i/>
          <w:iCs/>
          <w:sz w:val="24"/>
          <w:szCs w:val="24"/>
        </w:rPr>
        <w:t>,</w:t>
      </w:r>
      <w:r w:rsidRPr="00E81A6E">
        <w:rPr>
          <w:rFonts w:ascii="Times New Roman" w:hAnsi="Times New Roman" w:cs="Times New Roman"/>
          <w:i/>
          <w:iCs/>
          <w:sz w:val="24"/>
          <w:szCs w:val="24"/>
          <w:lang w:val="bg-BG"/>
        </w:rPr>
        <w:t>700</w:t>
      </w:r>
      <w:r w:rsidR="00B26384" w:rsidRPr="00E81A6E">
        <w:rPr>
          <w:rFonts w:ascii="Times New Roman" w:hAnsi="Times New Roman" w:cs="Times New Roman"/>
          <w:i/>
          <w:iCs/>
          <w:sz w:val="24"/>
          <w:szCs w:val="24"/>
        </w:rPr>
        <w:t xml:space="preserve"> </w:t>
      </w:r>
      <w:r w:rsidR="008E5645" w:rsidRPr="00E81A6E">
        <w:rPr>
          <w:rFonts w:ascii="Times New Roman" w:hAnsi="Times New Roman" w:cs="Times New Roman"/>
          <w:i/>
          <w:iCs/>
          <w:sz w:val="24"/>
          <w:szCs w:val="24"/>
        </w:rPr>
        <w:t>лв.</w:t>
      </w:r>
      <w:r w:rsidRPr="00E81A6E">
        <w:rPr>
          <w:rFonts w:ascii="Times New Roman" w:hAnsi="Times New Roman" w:cs="Times New Roman"/>
          <w:i/>
          <w:iCs/>
          <w:sz w:val="24"/>
          <w:szCs w:val="24"/>
        </w:rPr>
        <w:t xml:space="preserve"> </w:t>
      </w:r>
    </w:p>
    <w:p w14:paraId="7C7A0B79" w14:textId="77777777" w:rsidR="006F5B92" w:rsidRPr="00E81A6E" w:rsidRDefault="006F5B92" w:rsidP="00F55B06">
      <w:pPr>
        <w:spacing w:after="0" w:line="240" w:lineRule="auto"/>
        <w:ind w:firstLine="720"/>
        <w:contextualSpacing/>
        <w:jc w:val="both"/>
        <w:rPr>
          <w:rFonts w:ascii="Times New Roman" w:hAnsi="Times New Roman" w:cs="Times New Roman"/>
          <w:sz w:val="24"/>
          <w:szCs w:val="24"/>
          <w:lang w:val="ru-RU"/>
        </w:rPr>
      </w:pPr>
      <w:r w:rsidRPr="00E81A6E">
        <w:rPr>
          <w:rFonts w:ascii="Times New Roman" w:hAnsi="Times New Roman" w:cs="Times New Roman"/>
          <w:sz w:val="24"/>
          <w:szCs w:val="24"/>
          <w:lang w:val="ru-RU"/>
        </w:rPr>
        <w:t xml:space="preserve">В тези средства са включени заплатите и издръжката на счетоводните звена в системата на Столична община. </w:t>
      </w:r>
    </w:p>
    <w:p w14:paraId="71171731" w14:textId="77777777" w:rsidR="006F5B92" w:rsidRPr="00E81A6E" w:rsidRDefault="006F5B92" w:rsidP="00F55B06">
      <w:pPr>
        <w:keepNext/>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b/>
          <w:bCs/>
          <w:sz w:val="24"/>
          <w:szCs w:val="24"/>
          <w:lang w:val="ru-RU"/>
        </w:rPr>
        <w:t>Дейност 910 “Разходи за лихви”</w:t>
      </w:r>
    </w:p>
    <w:p w14:paraId="1DE1A4EB" w14:textId="77777777" w:rsidR="006F5B92" w:rsidRPr="00E81A6E" w:rsidRDefault="006F5B92" w:rsidP="00F55B06">
      <w:pPr>
        <w:spacing w:after="0" w:line="240" w:lineRule="auto"/>
        <w:ind w:firstLine="720"/>
        <w:contextualSpacing/>
        <w:jc w:val="both"/>
        <w:rPr>
          <w:rFonts w:ascii="Times New Roman" w:hAnsi="Times New Roman" w:cs="Times New Roman"/>
          <w:b/>
          <w:bCs/>
          <w:sz w:val="24"/>
          <w:szCs w:val="24"/>
          <w:lang w:val="ru-RU"/>
        </w:rPr>
      </w:pPr>
      <w:r w:rsidRPr="00E81A6E">
        <w:rPr>
          <w:rFonts w:ascii="Times New Roman" w:hAnsi="Times New Roman" w:cs="Times New Roman"/>
          <w:sz w:val="24"/>
          <w:szCs w:val="24"/>
          <w:lang w:val="ru-RU"/>
        </w:rPr>
        <w:t>Разчетените средства за лихви и разходи по обслужване на кредитите са</w:t>
      </w:r>
      <w:r w:rsidRPr="00E81A6E">
        <w:rPr>
          <w:rFonts w:ascii="Times New Roman" w:hAnsi="Times New Roman" w:cs="Times New Roman"/>
          <w:sz w:val="24"/>
          <w:szCs w:val="24"/>
          <w:lang w:val="bg-BG"/>
        </w:rPr>
        <w:t xml:space="preserve"> </w:t>
      </w:r>
      <w:r w:rsidRPr="00E81A6E">
        <w:rPr>
          <w:rFonts w:ascii="Times New Roman" w:hAnsi="Times New Roman" w:cs="Times New Roman"/>
          <w:b/>
          <w:bCs/>
          <w:sz w:val="24"/>
          <w:szCs w:val="24"/>
          <w:lang w:val="bg-BG"/>
        </w:rPr>
        <w:t>1</w:t>
      </w:r>
      <w:r w:rsidR="002B64AD" w:rsidRPr="00E81A6E">
        <w:rPr>
          <w:rFonts w:ascii="Times New Roman" w:hAnsi="Times New Roman" w:cs="Times New Roman"/>
          <w:b/>
          <w:bCs/>
          <w:sz w:val="24"/>
          <w:szCs w:val="24"/>
          <w:lang w:val="bg-BG"/>
        </w:rPr>
        <w:t>6</w:t>
      </w:r>
      <w:r w:rsidRPr="00E81A6E">
        <w:rPr>
          <w:rFonts w:ascii="Times New Roman" w:hAnsi="Times New Roman" w:cs="Times New Roman"/>
          <w:b/>
          <w:bCs/>
          <w:sz w:val="24"/>
          <w:szCs w:val="24"/>
          <w:lang w:val="ru-RU"/>
        </w:rPr>
        <w:t>,</w:t>
      </w:r>
      <w:r w:rsidR="002B64AD" w:rsidRPr="00E81A6E">
        <w:rPr>
          <w:rFonts w:ascii="Times New Roman" w:hAnsi="Times New Roman" w:cs="Times New Roman"/>
          <w:b/>
          <w:bCs/>
          <w:sz w:val="24"/>
          <w:szCs w:val="24"/>
          <w:lang w:val="ru-RU"/>
        </w:rPr>
        <w:t>635</w:t>
      </w:r>
      <w:r w:rsidRPr="00E81A6E">
        <w:rPr>
          <w:rFonts w:ascii="Times New Roman" w:hAnsi="Times New Roman" w:cs="Times New Roman"/>
          <w:b/>
          <w:bCs/>
          <w:sz w:val="24"/>
          <w:szCs w:val="24"/>
          <w:lang w:val="ru-RU"/>
        </w:rPr>
        <w:t>,</w:t>
      </w:r>
      <w:r w:rsidR="002B64AD" w:rsidRPr="00E81A6E">
        <w:rPr>
          <w:rFonts w:ascii="Times New Roman" w:hAnsi="Times New Roman" w:cs="Times New Roman"/>
          <w:b/>
          <w:bCs/>
          <w:sz w:val="24"/>
          <w:szCs w:val="24"/>
          <w:lang w:val="ru-RU"/>
        </w:rPr>
        <w:t>900</w:t>
      </w:r>
      <w:r w:rsidR="00B26384" w:rsidRPr="00E81A6E">
        <w:rPr>
          <w:rFonts w:ascii="Times New Roman" w:hAnsi="Times New Roman" w:cs="Times New Roman"/>
          <w:b/>
          <w:bCs/>
          <w:sz w:val="24"/>
          <w:szCs w:val="24"/>
          <w:lang w:val="ru-RU"/>
        </w:rPr>
        <w:t xml:space="preserve"> </w:t>
      </w:r>
      <w:r w:rsidR="008E5645" w:rsidRPr="00E81A6E">
        <w:rPr>
          <w:rFonts w:ascii="Times New Roman" w:hAnsi="Times New Roman" w:cs="Times New Roman"/>
          <w:b/>
          <w:bCs/>
          <w:sz w:val="24"/>
          <w:szCs w:val="24"/>
          <w:lang w:val="ru-RU"/>
        </w:rPr>
        <w:t>лв.</w:t>
      </w:r>
    </w:p>
    <w:p w14:paraId="7480976C" w14:textId="77777777" w:rsidR="00EC3591" w:rsidRPr="00E81A6E" w:rsidRDefault="00EC3591" w:rsidP="00F55B06">
      <w:pPr>
        <w:spacing w:after="0" w:line="240" w:lineRule="auto"/>
        <w:ind w:firstLine="720"/>
        <w:contextualSpacing/>
        <w:jc w:val="both"/>
        <w:rPr>
          <w:rFonts w:ascii="Times New Roman" w:hAnsi="Times New Roman" w:cs="Times New Roman"/>
          <w:b/>
          <w:bCs/>
          <w:sz w:val="24"/>
          <w:szCs w:val="24"/>
          <w:lang w:val="ru-RU"/>
        </w:rPr>
      </w:pPr>
    </w:p>
    <w:p w14:paraId="043DF217" w14:textId="77777777" w:rsidR="004E66C7" w:rsidRPr="00E81A6E" w:rsidRDefault="004E66C7" w:rsidP="00F55B06">
      <w:pPr>
        <w:spacing w:after="0" w:line="240" w:lineRule="auto"/>
        <w:ind w:firstLine="720"/>
        <w:contextualSpacing/>
        <w:jc w:val="both"/>
        <w:rPr>
          <w:rFonts w:ascii="Times New Roman" w:hAnsi="Times New Roman" w:cs="Times New Roman"/>
          <w:b/>
          <w:bCs/>
          <w:sz w:val="24"/>
          <w:szCs w:val="24"/>
          <w:lang w:val="ru-RU"/>
        </w:rPr>
      </w:pPr>
    </w:p>
    <w:p w14:paraId="577D068A" w14:textId="77777777" w:rsidR="004223D4" w:rsidRPr="00E81A6E" w:rsidRDefault="006F5B92" w:rsidP="00F55B06">
      <w:pPr>
        <w:pStyle w:val="Heading1"/>
        <w:spacing w:before="0" w:after="0"/>
        <w:ind w:firstLine="720"/>
        <w:contextualSpacing/>
        <w:rPr>
          <w:rFonts w:ascii="Times New Roman" w:hAnsi="Times New Roman" w:cs="Times New Roman"/>
          <w:color w:val="auto"/>
          <w:sz w:val="24"/>
          <w:szCs w:val="24"/>
          <w:lang w:val="ru-RU"/>
        </w:rPr>
      </w:pPr>
      <w:bookmarkStart w:id="123" w:name="_Toc467195909"/>
      <w:bookmarkStart w:id="124" w:name="_Toc499639787"/>
      <w:bookmarkStart w:id="125" w:name="_Toc500496083"/>
      <w:bookmarkStart w:id="126" w:name="_Toc500496429"/>
      <w:bookmarkStart w:id="127" w:name="_Toc61971783"/>
      <w:r w:rsidRPr="00E81A6E">
        <w:rPr>
          <w:rFonts w:ascii="Times New Roman" w:hAnsi="Times New Roman" w:cs="Times New Roman"/>
          <w:color w:val="auto"/>
          <w:sz w:val="24"/>
          <w:szCs w:val="24"/>
          <w:lang w:val="ru-RU"/>
        </w:rPr>
        <w:t>БЮДЖЕТ 20</w:t>
      </w:r>
      <w:r w:rsidR="00A17A73" w:rsidRPr="00E81A6E">
        <w:rPr>
          <w:rFonts w:ascii="Times New Roman" w:hAnsi="Times New Roman" w:cs="Times New Roman"/>
          <w:color w:val="auto"/>
          <w:sz w:val="24"/>
          <w:szCs w:val="24"/>
          <w:lang w:val="ru-RU"/>
        </w:rPr>
        <w:t>2</w:t>
      </w:r>
      <w:r w:rsidR="00A8003D" w:rsidRPr="00E81A6E">
        <w:rPr>
          <w:rFonts w:ascii="Times New Roman" w:hAnsi="Times New Roman" w:cs="Times New Roman"/>
          <w:color w:val="auto"/>
          <w:sz w:val="24"/>
          <w:szCs w:val="24"/>
          <w:lang w:val="ru-RU"/>
        </w:rPr>
        <w:t>1</w:t>
      </w:r>
      <w:r w:rsidRPr="00E81A6E">
        <w:rPr>
          <w:rFonts w:ascii="Times New Roman" w:hAnsi="Times New Roman" w:cs="Times New Roman"/>
          <w:color w:val="auto"/>
          <w:sz w:val="24"/>
          <w:szCs w:val="24"/>
          <w:lang w:val="ru-RU"/>
        </w:rPr>
        <w:t xml:space="preserve"> - ИНВЕСТИЦИОННА ПРОГРАМА</w:t>
      </w:r>
      <w:bookmarkEnd w:id="123"/>
      <w:bookmarkEnd w:id="124"/>
      <w:bookmarkEnd w:id="125"/>
      <w:bookmarkEnd w:id="126"/>
      <w:bookmarkEnd w:id="127"/>
    </w:p>
    <w:p w14:paraId="7270C016" w14:textId="77777777" w:rsidR="004E66C7" w:rsidRPr="00E81A6E" w:rsidRDefault="004E66C7" w:rsidP="00F55B06">
      <w:pPr>
        <w:spacing w:after="0" w:line="240" w:lineRule="auto"/>
        <w:ind w:firstLine="720"/>
        <w:contextualSpacing/>
        <w:rPr>
          <w:rFonts w:ascii="Times New Roman" w:hAnsi="Times New Roman" w:cs="Times New Roman"/>
          <w:b/>
          <w:sz w:val="24"/>
          <w:szCs w:val="24"/>
          <w:lang w:val="bg-BG"/>
        </w:rPr>
      </w:pPr>
    </w:p>
    <w:p w14:paraId="6A85F1AB" w14:textId="77777777" w:rsidR="00F93D99" w:rsidRPr="00E81A6E" w:rsidRDefault="00F93D99" w:rsidP="00F55B06">
      <w:pPr>
        <w:spacing w:after="0"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b/>
          <w:sz w:val="24"/>
          <w:szCs w:val="24"/>
          <w:lang w:val="bg-BG"/>
        </w:rPr>
        <w:t>За капиталови разходи на Столична община за 20</w:t>
      </w:r>
      <w:r w:rsidRPr="00E81A6E">
        <w:rPr>
          <w:rFonts w:ascii="Times New Roman" w:hAnsi="Times New Roman" w:cs="Times New Roman"/>
          <w:b/>
          <w:sz w:val="24"/>
          <w:szCs w:val="24"/>
          <w:lang w:val="ru-RU"/>
        </w:rPr>
        <w:t>21</w:t>
      </w:r>
      <w:r w:rsidRPr="00E81A6E">
        <w:rPr>
          <w:rFonts w:ascii="Times New Roman" w:hAnsi="Times New Roman" w:cs="Times New Roman"/>
          <w:b/>
          <w:sz w:val="24"/>
          <w:szCs w:val="24"/>
          <w:lang w:val="bg-BG"/>
        </w:rPr>
        <w:t xml:space="preserve">г. </w:t>
      </w:r>
      <w:r w:rsidRPr="00E81A6E">
        <w:rPr>
          <w:rFonts w:ascii="Times New Roman" w:hAnsi="Times New Roman" w:cs="Times New Roman"/>
          <w:bCs/>
          <w:sz w:val="24"/>
          <w:szCs w:val="24"/>
          <w:lang w:val="bg-BG"/>
        </w:rPr>
        <w:t>са предвидени</w:t>
      </w:r>
      <w:r w:rsidRPr="00E81A6E">
        <w:rPr>
          <w:rFonts w:ascii="Times New Roman" w:hAnsi="Times New Roman" w:cs="Times New Roman"/>
          <w:b/>
          <w:sz w:val="24"/>
          <w:szCs w:val="24"/>
          <w:lang w:val="bg-BG"/>
        </w:rPr>
        <w:t xml:space="preserve"> </w:t>
      </w:r>
      <w:r w:rsidRPr="00E81A6E">
        <w:rPr>
          <w:rFonts w:ascii="Times New Roman" w:hAnsi="Times New Roman" w:cs="Times New Roman"/>
          <w:bCs/>
          <w:sz w:val="24"/>
          <w:szCs w:val="24"/>
          <w:lang w:val="bg-BG"/>
        </w:rPr>
        <w:t>средства в размер на</w:t>
      </w:r>
      <w:r w:rsidRPr="00E81A6E">
        <w:rPr>
          <w:rFonts w:ascii="Times New Roman" w:hAnsi="Times New Roman" w:cs="Times New Roman"/>
          <w:b/>
          <w:sz w:val="24"/>
          <w:szCs w:val="24"/>
          <w:lang w:val="bg-BG"/>
        </w:rPr>
        <w:t xml:space="preserve"> 509,</w:t>
      </w:r>
      <w:r w:rsidR="007935FC" w:rsidRPr="00E81A6E">
        <w:rPr>
          <w:rFonts w:ascii="Times New Roman" w:hAnsi="Times New Roman" w:cs="Times New Roman"/>
          <w:b/>
          <w:sz w:val="24"/>
          <w:szCs w:val="24"/>
          <w:lang w:val="bg-BG"/>
        </w:rPr>
        <w:t>5</w:t>
      </w:r>
      <w:r w:rsidRPr="00E81A6E">
        <w:rPr>
          <w:rFonts w:ascii="Times New Roman" w:hAnsi="Times New Roman" w:cs="Times New Roman"/>
          <w:b/>
          <w:sz w:val="24"/>
          <w:szCs w:val="24"/>
          <w:lang w:val="bg-BG"/>
        </w:rPr>
        <w:t xml:space="preserve">34,200 лв.,  в т.ч. 7,000,000 лв. </w:t>
      </w:r>
      <w:r w:rsidRPr="00E81A6E">
        <w:rPr>
          <w:rFonts w:ascii="Times New Roman" w:hAnsi="Times New Roman" w:cs="Times New Roman"/>
          <w:sz w:val="24"/>
          <w:szCs w:val="24"/>
          <w:lang w:val="bg-BG"/>
        </w:rPr>
        <w:t>средства от приватизация с инвестиционен характер, подлежащи на разпределение.</w:t>
      </w:r>
      <w:r w:rsidR="004D0C95" w:rsidRPr="00E81A6E">
        <w:rPr>
          <w:rFonts w:ascii="Times New Roman" w:hAnsi="Times New Roman" w:cs="Times New Roman"/>
          <w:sz w:val="24"/>
          <w:szCs w:val="24"/>
          <w:lang w:val="bg-BG"/>
        </w:rPr>
        <w:t xml:space="preserve"> </w:t>
      </w:r>
      <w:r w:rsidR="004D0C95" w:rsidRPr="00E81A6E">
        <w:rPr>
          <w:rFonts w:ascii="Times New Roman" w:hAnsi="Times New Roman" w:cs="Times New Roman"/>
          <w:b/>
          <w:sz w:val="24"/>
          <w:szCs w:val="24"/>
          <w:lang w:val="bg-BG"/>
        </w:rPr>
        <w:t>От тях:</w:t>
      </w:r>
    </w:p>
    <w:tbl>
      <w:tblPr>
        <w:tblW w:w="0" w:type="auto"/>
        <w:tblLook w:val="0000" w:firstRow="0" w:lastRow="0" w:firstColumn="0" w:lastColumn="0" w:noHBand="0" w:noVBand="0"/>
      </w:tblPr>
      <w:tblGrid>
        <w:gridCol w:w="6946"/>
        <w:gridCol w:w="2126"/>
      </w:tblGrid>
      <w:tr w:rsidR="00256E10" w:rsidRPr="00E81A6E" w14:paraId="68480AB0" w14:textId="77777777" w:rsidTr="00256E10">
        <w:trPr>
          <w:trHeight w:val="578"/>
        </w:trPr>
        <w:tc>
          <w:tcPr>
            <w:tcW w:w="6946" w:type="dxa"/>
          </w:tcPr>
          <w:p w14:paraId="2F9519B2" w14:textId="77777777" w:rsidR="00F93D99" w:rsidRPr="00E81A6E" w:rsidRDefault="00F93D99" w:rsidP="00350B12">
            <w:pPr>
              <w:pStyle w:val="ListParagraph"/>
              <w:numPr>
                <w:ilvl w:val="0"/>
                <w:numId w:val="40"/>
              </w:numPr>
              <w:spacing w:after="0" w:line="240" w:lineRule="auto"/>
              <w:contextualSpacing/>
              <w:rPr>
                <w:rFonts w:ascii="Times New Roman" w:hAnsi="Times New Roman" w:cs="Times New Roman"/>
                <w:bCs/>
                <w:sz w:val="24"/>
                <w:szCs w:val="24"/>
                <w:lang w:val="bg-BG"/>
              </w:rPr>
            </w:pPr>
            <w:r w:rsidRPr="00E81A6E">
              <w:rPr>
                <w:rFonts w:ascii="Times New Roman" w:hAnsi="Times New Roman" w:cs="Times New Roman"/>
                <w:bCs/>
                <w:sz w:val="24"/>
                <w:szCs w:val="24"/>
                <w:lang w:val="bg-BG"/>
              </w:rPr>
              <w:t xml:space="preserve">бюджетни средства </w:t>
            </w:r>
          </w:p>
        </w:tc>
        <w:tc>
          <w:tcPr>
            <w:tcW w:w="2126" w:type="dxa"/>
          </w:tcPr>
          <w:p w14:paraId="06077CB6" w14:textId="77777777" w:rsidR="00F93D99" w:rsidRPr="00E81A6E" w:rsidRDefault="00F93D99" w:rsidP="004E66C7">
            <w:pPr>
              <w:spacing w:after="0" w:line="240" w:lineRule="auto"/>
              <w:contextualSpacing/>
              <w:jc w:val="right"/>
              <w:rPr>
                <w:rFonts w:ascii="Times New Roman" w:hAnsi="Times New Roman" w:cs="Times New Roman"/>
                <w:bCs/>
                <w:sz w:val="24"/>
                <w:szCs w:val="24"/>
                <w:lang w:val="bg-BG"/>
              </w:rPr>
            </w:pPr>
            <w:r w:rsidRPr="00E81A6E">
              <w:rPr>
                <w:rFonts w:ascii="Times New Roman" w:hAnsi="Times New Roman" w:cs="Times New Roman"/>
                <w:bCs/>
                <w:sz w:val="24"/>
                <w:szCs w:val="24"/>
              </w:rPr>
              <w:t>21</w:t>
            </w:r>
            <w:r w:rsidR="007935FC" w:rsidRPr="00E81A6E">
              <w:rPr>
                <w:rFonts w:ascii="Times New Roman" w:hAnsi="Times New Roman" w:cs="Times New Roman"/>
                <w:bCs/>
                <w:sz w:val="24"/>
                <w:szCs w:val="24"/>
                <w:lang w:val="bg-BG"/>
              </w:rPr>
              <w:t>3</w:t>
            </w:r>
            <w:r w:rsidRPr="00E81A6E">
              <w:rPr>
                <w:rFonts w:ascii="Times New Roman" w:hAnsi="Times New Roman" w:cs="Times New Roman"/>
                <w:bCs/>
                <w:sz w:val="24"/>
                <w:szCs w:val="24"/>
                <w:lang w:val="bg-BG"/>
              </w:rPr>
              <w:t>,</w:t>
            </w:r>
            <w:r w:rsidR="007935FC" w:rsidRPr="00E81A6E">
              <w:rPr>
                <w:rFonts w:ascii="Times New Roman" w:hAnsi="Times New Roman" w:cs="Times New Roman"/>
                <w:bCs/>
                <w:sz w:val="24"/>
                <w:szCs w:val="24"/>
                <w:lang w:val="bg-BG"/>
              </w:rPr>
              <w:t>3</w:t>
            </w:r>
            <w:r w:rsidRPr="00E81A6E">
              <w:rPr>
                <w:rFonts w:ascii="Times New Roman" w:hAnsi="Times New Roman" w:cs="Times New Roman"/>
                <w:bCs/>
                <w:sz w:val="24"/>
                <w:szCs w:val="24"/>
                <w:lang w:val="bg-BG"/>
              </w:rPr>
              <w:t>03,826 лв.</w:t>
            </w:r>
          </w:p>
        </w:tc>
      </w:tr>
      <w:tr w:rsidR="00256E10" w:rsidRPr="00E81A6E" w14:paraId="4081655B" w14:textId="77777777" w:rsidTr="00256E10">
        <w:trPr>
          <w:trHeight w:val="578"/>
        </w:trPr>
        <w:tc>
          <w:tcPr>
            <w:tcW w:w="6946" w:type="dxa"/>
          </w:tcPr>
          <w:p w14:paraId="2ECEE119" w14:textId="77777777" w:rsidR="00F93D99" w:rsidRPr="00E81A6E" w:rsidRDefault="00F93D99" w:rsidP="00350B12">
            <w:pPr>
              <w:pStyle w:val="ListParagraph"/>
              <w:numPr>
                <w:ilvl w:val="0"/>
                <w:numId w:val="40"/>
              </w:numPr>
              <w:spacing w:after="0" w:line="240" w:lineRule="auto"/>
              <w:contextualSpacing/>
              <w:rPr>
                <w:rFonts w:ascii="Times New Roman" w:hAnsi="Times New Roman" w:cs="Times New Roman"/>
                <w:bCs/>
                <w:sz w:val="24"/>
                <w:szCs w:val="24"/>
                <w:lang w:val="bg-BG"/>
              </w:rPr>
            </w:pPr>
            <w:r w:rsidRPr="00E81A6E">
              <w:rPr>
                <w:rFonts w:ascii="Times New Roman" w:hAnsi="Times New Roman" w:cs="Times New Roman"/>
                <w:bCs/>
                <w:sz w:val="24"/>
                <w:szCs w:val="24"/>
                <w:lang w:val="bg-BG"/>
              </w:rPr>
              <w:t xml:space="preserve">средства по оперативни програми </w:t>
            </w:r>
          </w:p>
        </w:tc>
        <w:tc>
          <w:tcPr>
            <w:tcW w:w="2126" w:type="dxa"/>
          </w:tcPr>
          <w:p w14:paraId="519E49C8" w14:textId="77777777" w:rsidR="00F93D99" w:rsidRPr="00E81A6E" w:rsidRDefault="00F93D99" w:rsidP="004E66C7">
            <w:pPr>
              <w:spacing w:after="0" w:line="240" w:lineRule="auto"/>
              <w:contextualSpacing/>
              <w:jc w:val="right"/>
              <w:rPr>
                <w:rFonts w:ascii="Times New Roman" w:hAnsi="Times New Roman" w:cs="Times New Roman"/>
                <w:bCs/>
                <w:sz w:val="24"/>
                <w:szCs w:val="24"/>
                <w:lang w:val="bg-BG"/>
              </w:rPr>
            </w:pPr>
            <w:r w:rsidRPr="00E81A6E">
              <w:rPr>
                <w:rFonts w:ascii="Times New Roman" w:hAnsi="Times New Roman" w:cs="Times New Roman"/>
                <w:bCs/>
                <w:sz w:val="24"/>
                <w:szCs w:val="24"/>
              </w:rPr>
              <w:t>2</w:t>
            </w:r>
            <w:r w:rsidRPr="00E81A6E">
              <w:rPr>
                <w:rFonts w:ascii="Times New Roman" w:hAnsi="Times New Roman" w:cs="Times New Roman"/>
                <w:bCs/>
                <w:sz w:val="24"/>
                <w:szCs w:val="24"/>
                <w:lang w:val="bg-BG"/>
              </w:rPr>
              <w:t xml:space="preserve">96,230,374 лв. </w:t>
            </w:r>
          </w:p>
        </w:tc>
      </w:tr>
    </w:tbl>
    <w:p w14:paraId="3F1A3CE2" w14:textId="77777777" w:rsidR="00F93D99" w:rsidRPr="00E81A6E" w:rsidRDefault="00F93D99" w:rsidP="00F55B06">
      <w:pPr>
        <w:spacing w:after="0" w:line="240" w:lineRule="auto"/>
        <w:ind w:firstLine="720"/>
        <w:contextualSpacing/>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Източници за финансиране на програмата са: </w:t>
      </w:r>
    </w:p>
    <w:tbl>
      <w:tblPr>
        <w:tblW w:w="0" w:type="auto"/>
        <w:tblLook w:val="00A0" w:firstRow="1" w:lastRow="0" w:firstColumn="1" w:lastColumn="0" w:noHBand="0" w:noVBand="0"/>
      </w:tblPr>
      <w:tblGrid>
        <w:gridCol w:w="6946"/>
        <w:gridCol w:w="2126"/>
      </w:tblGrid>
      <w:tr w:rsidR="00256E10" w:rsidRPr="00E81A6E" w14:paraId="35BC79B9" w14:textId="77777777" w:rsidTr="00256E10">
        <w:trPr>
          <w:trHeight w:val="394"/>
        </w:trPr>
        <w:tc>
          <w:tcPr>
            <w:tcW w:w="6946" w:type="dxa"/>
          </w:tcPr>
          <w:p w14:paraId="6C9E885C" w14:textId="77777777" w:rsidR="00F93D99" w:rsidRPr="00E81A6E" w:rsidRDefault="00F93D99" w:rsidP="00350B12">
            <w:pPr>
              <w:pStyle w:val="ListParagraph"/>
              <w:widowControl w:val="0"/>
              <w:numPr>
                <w:ilvl w:val="0"/>
                <w:numId w:val="40"/>
              </w:numPr>
              <w:overflowPunct w:val="0"/>
              <w:autoSpaceDE w:val="0"/>
              <w:autoSpaceDN w:val="0"/>
              <w:adjustRightInd w:val="0"/>
              <w:spacing w:after="0" w:line="240" w:lineRule="auto"/>
              <w:contextualSpacing/>
              <w:textAlignment w:val="baseline"/>
              <w:rPr>
                <w:rFonts w:ascii="Times New Roman" w:hAnsi="Times New Roman" w:cs="Times New Roman"/>
                <w:b/>
                <w:bCs/>
                <w:sz w:val="24"/>
                <w:szCs w:val="24"/>
                <w:lang w:val="bg-BG"/>
              </w:rPr>
            </w:pPr>
            <w:r w:rsidRPr="00E81A6E">
              <w:rPr>
                <w:rFonts w:ascii="Times New Roman" w:hAnsi="Times New Roman" w:cs="Times New Roman"/>
                <w:b/>
                <w:bCs/>
                <w:sz w:val="24"/>
                <w:szCs w:val="24"/>
                <w:lang w:val="bg-BG"/>
              </w:rPr>
              <w:t xml:space="preserve">целева субсидия от РБ </w:t>
            </w:r>
          </w:p>
        </w:tc>
        <w:tc>
          <w:tcPr>
            <w:tcW w:w="2126" w:type="dxa"/>
          </w:tcPr>
          <w:p w14:paraId="18E21E98" w14:textId="77777777" w:rsidR="00F93D99" w:rsidRPr="00E81A6E" w:rsidRDefault="00F93D99" w:rsidP="004E66C7">
            <w:pPr>
              <w:widowControl w:val="0"/>
              <w:overflowPunct w:val="0"/>
              <w:autoSpaceDE w:val="0"/>
              <w:autoSpaceDN w:val="0"/>
              <w:adjustRightInd w:val="0"/>
              <w:spacing w:after="0" w:line="240" w:lineRule="auto"/>
              <w:contextualSpacing/>
              <w:jc w:val="right"/>
              <w:textAlignment w:val="baseline"/>
              <w:rPr>
                <w:rFonts w:ascii="Times New Roman" w:hAnsi="Times New Roman" w:cs="Times New Roman"/>
                <w:bCs/>
                <w:sz w:val="24"/>
                <w:szCs w:val="24"/>
                <w:lang w:val="bg-BG"/>
              </w:rPr>
            </w:pPr>
            <w:r w:rsidRPr="00E81A6E">
              <w:rPr>
                <w:rFonts w:ascii="Times New Roman" w:hAnsi="Times New Roman" w:cs="Times New Roman"/>
                <w:bCs/>
                <w:sz w:val="24"/>
                <w:szCs w:val="24"/>
              </w:rPr>
              <w:t>1</w:t>
            </w:r>
            <w:r w:rsidRPr="00E81A6E">
              <w:rPr>
                <w:rFonts w:ascii="Times New Roman" w:hAnsi="Times New Roman" w:cs="Times New Roman"/>
                <w:bCs/>
                <w:sz w:val="24"/>
                <w:szCs w:val="24"/>
                <w:lang w:val="bg-BG"/>
              </w:rPr>
              <w:t xml:space="preserve">1,751,900 лв. </w:t>
            </w:r>
          </w:p>
        </w:tc>
      </w:tr>
      <w:tr w:rsidR="00256E10" w:rsidRPr="00E81A6E" w14:paraId="66ACD2CC" w14:textId="77777777" w:rsidTr="00256E10">
        <w:trPr>
          <w:trHeight w:val="72"/>
        </w:trPr>
        <w:tc>
          <w:tcPr>
            <w:tcW w:w="6946" w:type="dxa"/>
          </w:tcPr>
          <w:p w14:paraId="1A967325" w14:textId="77777777" w:rsidR="00F93D99" w:rsidRPr="00E81A6E" w:rsidRDefault="00F93D99" w:rsidP="00350B12">
            <w:pPr>
              <w:pStyle w:val="ListParagraph"/>
              <w:widowControl w:val="0"/>
              <w:numPr>
                <w:ilvl w:val="0"/>
                <w:numId w:val="40"/>
              </w:numPr>
              <w:overflowPunct w:val="0"/>
              <w:autoSpaceDE w:val="0"/>
              <w:autoSpaceDN w:val="0"/>
              <w:adjustRightInd w:val="0"/>
              <w:spacing w:after="0" w:line="240" w:lineRule="auto"/>
              <w:contextualSpacing/>
              <w:textAlignment w:val="baseline"/>
              <w:rPr>
                <w:rFonts w:ascii="Times New Roman" w:hAnsi="Times New Roman" w:cs="Times New Roman"/>
                <w:b/>
                <w:bCs/>
                <w:sz w:val="24"/>
                <w:szCs w:val="24"/>
                <w:lang w:val="bg-BG"/>
              </w:rPr>
            </w:pPr>
            <w:r w:rsidRPr="00E81A6E">
              <w:rPr>
                <w:rFonts w:ascii="Times New Roman" w:hAnsi="Times New Roman" w:cs="Times New Roman"/>
                <w:b/>
                <w:bCs/>
                <w:sz w:val="24"/>
                <w:szCs w:val="24"/>
                <w:lang w:val="bg-BG"/>
              </w:rPr>
              <w:t>местни данъци, неданъчни приходи и приватизация</w:t>
            </w:r>
          </w:p>
        </w:tc>
        <w:tc>
          <w:tcPr>
            <w:tcW w:w="2126" w:type="dxa"/>
          </w:tcPr>
          <w:p w14:paraId="18CC0A1E" w14:textId="77777777" w:rsidR="00F93D99" w:rsidRPr="00E81A6E" w:rsidRDefault="00F93D99" w:rsidP="004E66C7">
            <w:pPr>
              <w:widowControl w:val="0"/>
              <w:overflowPunct w:val="0"/>
              <w:autoSpaceDE w:val="0"/>
              <w:autoSpaceDN w:val="0"/>
              <w:adjustRightInd w:val="0"/>
              <w:spacing w:after="0" w:line="240" w:lineRule="auto"/>
              <w:contextualSpacing/>
              <w:jc w:val="right"/>
              <w:textAlignment w:val="baseline"/>
              <w:rPr>
                <w:rFonts w:ascii="Times New Roman" w:hAnsi="Times New Roman" w:cs="Times New Roman"/>
                <w:bCs/>
                <w:sz w:val="24"/>
                <w:szCs w:val="24"/>
                <w:lang w:val="bg-BG"/>
              </w:rPr>
            </w:pPr>
            <w:r w:rsidRPr="00E81A6E">
              <w:rPr>
                <w:rFonts w:ascii="Times New Roman" w:hAnsi="Times New Roman" w:cs="Times New Roman"/>
                <w:bCs/>
                <w:sz w:val="24"/>
                <w:szCs w:val="24"/>
                <w:lang w:val="ru-RU"/>
              </w:rPr>
              <w:t>16</w:t>
            </w:r>
            <w:r w:rsidR="007935FC" w:rsidRPr="00E81A6E">
              <w:rPr>
                <w:rFonts w:ascii="Times New Roman" w:hAnsi="Times New Roman" w:cs="Times New Roman"/>
                <w:bCs/>
                <w:sz w:val="24"/>
                <w:szCs w:val="24"/>
                <w:lang w:val="ru-RU"/>
              </w:rPr>
              <w:t>4</w:t>
            </w:r>
            <w:r w:rsidRPr="00E81A6E">
              <w:rPr>
                <w:rFonts w:ascii="Times New Roman" w:hAnsi="Times New Roman" w:cs="Times New Roman"/>
                <w:bCs/>
                <w:sz w:val="24"/>
                <w:szCs w:val="24"/>
                <w:lang w:val="ru-RU"/>
              </w:rPr>
              <w:t>,</w:t>
            </w:r>
            <w:r w:rsidR="007935FC" w:rsidRPr="00E81A6E">
              <w:rPr>
                <w:rFonts w:ascii="Times New Roman" w:hAnsi="Times New Roman" w:cs="Times New Roman"/>
                <w:bCs/>
                <w:sz w:val="24"/>
                <w:szCs w:val="24"/>
                <w:lang w:val="ru-RU"/>
              </w:rPr>
              <w:t>0</w:t>
            </w:r>
            <w:r w:rsidRPr="00E81A6E">
              <w:rPr>
                <w:rFonts w:ascii="Times New Roman" w:hAnsi="Times New Roman" w:cs="Times New Roman"/>
                <w:bCs/>
                <w:sz w:val="24"/>
                <w:szCs w:val="24"/>
                <w:lang w:val="ru-RU"/>
              </w:rPr>
              <w:t>96,665 лв.</w:t>
            </w:r>
          </w:p>
        </w:tc>
      </w:tr>
      <w:tr w:rsidR="00256E10" w:rsidRPr="00E81A6E" w14:paraId="2355CD38" w14:textId="77777777" w:rsidTr="00256E10">
        <w:trPr>
          <w:trHeight w:val="147"/>
        </w:trPr>
        <w:tc>
          <w:tcPr>
            <w:tcW w:w="6946" w:type="dxa"/>
          </w:tcPr>
          <w:p w14:paraId="0F1FDB44" w14:textId="77777777" w:rsidR="00F93D99" w:rsidRPr="00E81A6E" w:rsidRDefault="00F93D99" w:rsidP="00350B12">
            <w:pPr>
              <w:pStyle w:val="ListParagraph"/>
              <w:widowControl w:val="0"/>
              <w:numPr>
                <w:ilvl w:val="0"/>
                <w:numId w:val="40"/>
              </w:numPr>
              <w:overflowPunct w:val="0"/>
              <w:autoSpaceDE w:val="0"/>
              <w:autoSpaceDN w:val="0"/>
              <w:adjustRightInd w:val="0"/>
              <w:spacing w:after="0" w:line="240" w:lineRule="auto"/>
              <w:contextualSpacing/>
              <w:textAlignment w:val="baseline"/>
              <w:rPr>
                <w:rFonts w:ascii="Times New Roman" w:hAnsi="Times New Roman" w:cs="Times New Roman"/>
                <w:b/>
                <w:bCs/>
                <w:sz w:val="24"/>
                <w:szCs w:val="24"/>
                <w:lang w:val="ru-RU"/>
              </w:rPr>
            </w:pPr>
            <w:r w:rsidRPr="00E81A6E">
              <w:rPr>
                <w:rFonts w:ascii="Times New Roman" w:hAnsi="Times New Roman" w:cs="Times New Roman"/>
                <w:b/>
                <w:bCs/>
                <w:sz w:val="24"/>
                <w:szCs w:val="24"/>
                <w:lang w:val="bg-BG"/>
              </w:rPr>
              <w:t>заемни средства и преходен остатък от заеми</w:t>
            </w:r>
          </w:p>
        </w:tc>
        <w:tc>
          <w:tcPr>
            <w:tcW w:w="2126" w:type="dxa"/>
          </w:tcPr>
          <w:p w14:paraId="542B7C8B" w14:textId="77777777" w:rsidR="00F93D99" w:rsidRPr="00E81A6E" w:rsidRDefault="00F93D99" w:rsidP="004E66C7">
            <w:pPr>
              <w:widowControl w:val="0"/>
              <w:overflowPunct w:val="0"/>
              <w:autoSpaceDE w:val="0"/>
              <w:autoSpaceDN w:val="0"/>
              <w:adjustRightInd w:val="0"/>
              <w:spacing w:after="0" w:line="240" w:lineRule="auto"/>
              <w:contextualSpacing/>
              <w:jc w:val="right"/>
              <w:textAlignment w:val="baseline"/>
              <w:rPr>
                <w:rFonts w:ascii="Times New Roman" w:hAnsi="Times New Roman" w:cs="Times New Roman"/>
                <w:bCs/>
                <w:sz w:val="24"/>
                <w:szCs w:val="24"/>
                <w:lang w:val="ru-RU"/>
              </w:rPr>
            </w:pPr>
            <w:r w:rsidRPr="00E81A6E">
              <w:rPr>
                <w:rFonts w:ascii="Times New Roman" w:hAnsi="Times New Roman" w:cs="Times New Roman"/>
                <w:bCs/>
                <w:sz w:val="24"/>
                <w:szCs w:val="24"/>
                <w:lang w:val="bg-BG"/>
              </w:rPr>
              <w:t>37,455,261 лв.</w:t>
            </w:r>
          </w:p>
        </w:tc>
      </w:tr>
      <w:tr w:rsidR="00256E10" w:rsidRPr="00E81A6E" w14:paraId="5C6E0260" w14:textId="77777777" w:rsidTr="00256E10">
        <w:trPr>
          <w:trHeight w:val="147"/>
        </w:trPr>
        <w:tc>
          <w:tcPr>
            <w:tcW w:w="6946" w:type="dxa"/>
          </w:tcPr>
          <w:p w14:paraId="2DAEA653" w14:textId="77777777" w:rsidR="00F93D99" w:rsidRPr="00E81A6E" w:rsidRDefault="00F93D99" w:rsidP="00350B12">
            <w:pPr>
              <w:pStyle w:val="ListParagraph"/>
              <w:widowControl w:val="0"/>
              <w:numPr>
                <w:ilvl w:val="0"/>
                <w:numId w:val="40"/>
              </w:numPr>
              <w:overflowPunct w:val="0"/>
              <w:autoSpaceDE w:val="0"/>
              <w:autoSpaceDN w:val="0"/>
              <w:adjustRightInd w:val="0"/>
              <w:spacing w:after="0" w:line="240" w:lineRule="auto"/>
              <w:contextualSpacing/>
              <w:textAlignment w:val="baseline"/>
              <w:rPr>
                <w:rFonts w:ascii="Times New Roman" w:hAnsi="Times New Roman" w:cs="Times New Roman"/>
                <w:b/>
                <w:bCs/>
                <w:sz w:val="24"/>
                <w:szCs w:val="24"/>
                <w:lang w:val="bg-BG"/>
              </w:rPr>
            </w:pPr>
            <w:r w:rsidRPr="00E81A6E">
              <w:rPr>
                <w:rFonts w:ascii="Times New Roman" w:hAnsi="Times New Roman" w:cs="Times New Roman"/>
                <w:b/>
                <w:bCs/>
                <w:sz w:val="24"/>
                <w:szCs w:val="24"/>
                <w:lang w:val="bg-BG"/>
              </w:rPr>
              <w:t xml:space="preserve">средства по оперативни и донорски програми </w:t>
            </w:r>
          </w:p>
        </w:tc>
        <w:tc>
          <w:tcPr>
            <w:tcW w:w="2126" w:type="dxa"/>
          </w:tcPr>
          <w:p w14:paraId="202F94D9" w14:textId="77777777" w:rsidR="00F93D99" w:rsidRPr="00E81A6E" w:rsidRDefault="00F93D99" w:rsidP="004E66C7">
            <w:pPr>
              <w:widowControl w:val="0"/>
              <w:overflowPunct w:val="0"/>
              <w:autoSpaceDE w:val="0"/>
              <w:autoSpaceDN w:val="0"/>
              <w:adjustRightInd w:val="0"/>
              <w:spacing w:after="0" w:line="240" w:lineRule="auto"/>
              <w:contextualSpacing/>
              <w:jc w:val="right"/>
              <w:textAlignment w:val="baseline"/>
              <w:rPr>
                <w:rFonts w:ascii="Times New Roman" w:hAnsi="Times New Roman" w:cs="Times New Roman"/>
                <w:bCs/>
                <w:sz w:val="24"/>
                <w:szCs w:val="24"/>
                <w:lang w:val="ru-RU"/>
              </w:rPr>
            </w:pPr>
            <w:r w:rsidRPr="00E81A6E">
              <w:rPr>
                <w:rFonts w:ascii="Times New Roman" w:hAnsi="Times New Roman" w:cs="Times New Roman"/>
                <w:bCs/>
                <w:sz w:val="24"/>
                <w:szCs w:val="24"/>
              </w:rPr>
              <w:t>2</w:t>
            </w:r>
            <w:r w:rsidRPr="00E81A6E">
              <w:rPr>
                <w:rFonts w:ascii="Times New Roman" w:hAnsi="Times New Roman" w:cs="Times New Roman"/>
                <w:bCs/>
                <w:sz w:val="24"/>
                <w:szCs w:val="24"/>
                <w:lang w:val="bg-BG"/>
              </w:rPr>
              <w:t>96,230,374 лв.</w:t>
            </w:r>
          </w:p>
        </w:tc>
      </w:tr>
      <w:tr w:rsidR="00256E10" w:rsidRPr="00E81A6E" w14:paraId="45B34191" w14:textId="77777777" w:rsidTr="00256E10">
        <w:trPr>
          <w:trHeight w:val="147"/>
        </w:trPr>
        <w:tc>
          <w:tcPr>
            <w:tcW w:w="6946" w:type="dxa"/>
          </w:tcPr>
          <w:p w14:paraId="035E09E6" w14:textId="77777777" w:rsidR="00F93D99" w:rsidRPr="00E81A6E" w:rsidRDefault="00F93D99" w:rsidP="00F55B06">
            <w:pPr>
              <w:widowControl w:val="0"/>
              <w:overflowPunct w:val="0"/>
              <w:autoSpaceDE w:val="0"/>
              <w:autoSpaceDN w:val="0"/>
              <w:adjustRightInd w:val="0"/>
              <w:spacing w:after="0" w:line="240" w:lineRule="auto"/>
              <w:ind w:firstLine="720"/>
              <w:contextualSpacing/>
              <w:textAlignment w:val="baseline"/>
              <w:rPr>
                <w:rFonts w:ascii="Times New Roman" w:hAnsi="Times New Roman" w:cs="Times New Roman"/>
                <w:b/>
                <w:bCs/>
                <w:sz w:val="24"/>
                <w:szCs w:val="24"/>
                <w:lang w:val="bg-BG"/>
              </w:rPr>
            </w:pPr>
          </w:p>
        </w:tc>
        <w:tc>
          <w:tcPr>
            <w:tcW w:w="2126" w:type="dxa"/>
          </w:tcPr>
          <w:p w14:paraId="49AE7B0B" w14:textId="77777777" w:rsidR="00F93D99" w:rsidRPr="00E81A6E" w:rsidRDefault="00F93D99" w:rsidP="00F55B06">
            <w:pPr>
              <w:widowControl w:val="0"/>
              <w:overflowPunct w:val="0"/>
              <w:autoSpaceDE w:val="0"/>
              <w:autoSpaceDN w:val="0"/>
              <w:adjustRightInd w:val="0"/>
              <w:spacing w:after="0" w:line="240" w:lineRule="auto"/>
              <w:ind w:firstLine="720"/>
              <w:contextualSpacing/>
              <w:jc w:val="right"/>
              <w:textAlignment w:val="baseline"/>
              <w:rPr>
                <w:rFonts w:ascii="Times New Roman" w:hAnsi="Times New Roman" w:cs="Times New Roman"/>
                <w:bCs/>
                <w:sz w:val="24"/>
                <w:szCs w:val="24"/>
              </w:rPr>
            </w:pPr>
          </w:p>
        </w:tc>
      </w:tr>
    </w:tbl>
    <w:p w14:paraId="08E73916" w14:textId="77777777" w:rsidR="00882664" w:rsidRDefault="00882664" w:rsidP="00F55B06">
      <w:pPr>
        <w:spacing w:after="0" w:line="240" w:lineRule="auto"/>
        <w:ind w:firstLine="720"/>
        <w:contextualSpacing/>
        <w:jc w:val="both"/>
        <w:rPr>
          <w:rFonts w:ascii="Times New Roman" w:hAnsi="Times New Roman" w:cs="Times New Roman"/>
          <w:sz w:val="24"/>
          <w:szCs w:val="24"/>
          <w:lang w:val="bg-BG"/>
        </w:rPr>
      </w:pPr>
    </w:p>
    <w:p w14:paraId="2985B991" w14:textId="77777777" w:rsidR="00F93D99" w:rsidRDefault="00F93D99" w:rsidP="00F55B06">
      <w:pPr>
        <w:spacing w:after="0" w:line="240" w:lineRule="auto"/>
        <w:ind w:firstLine="720"/>
        <w:contextualSpacing/>
        <w:jc w:val="both"/>
        <w:rPr>
          <w:rFonts w:ascii="Times New Roman" w:hAnsi="Times New Roman" w:cs="Times New Roman"/>
          <w:sz w:val="24"/>
          <w:szCs w:val="24"/>
          <w:lang w:val="bg-BG"/>
        </w:rPr>
      </w:pPr>
      <w:r w:rsidRPr="00882664">
        <w:rPr>
          <w:rFonts w:ascii="Times New Roman" w:hAnsi="Times New Roman" w:cs="Times New Roman"/>
          <w:sz w:val="24"/>
          <w:szCs w:val="24"/>
          <w:lang w:val="bg-BG"/>
        </w:rPr>
        <w:t>Бюджет 2021, и в частност капиталовата програма на Столична община, са насочени към краткосрочното постигане на три стратегически цели:</w:t>
      </w:r>
    </w:p>
    <w:p w14:paraId="0A2CA87A" w14:textId="77777777" w:rsidR="00882664" w:rsidRPr="00E81A6E" w:rsidRDefault="00882664" w:rsidP="00F55B06">
      <w:pPr>
        <w:spacing w:after="0" w:line="240" w:lineRule="auto"/>
        <w:ind w:firstLine="720"/>
        <w:contextualSpacing/>
        <w:jc w:val="both"/>
        <w:rPr>
          <w:rFonts w:ascii="Times New Roman" w:hAnsi="Times New Roman" w:cs="Times New Roman"/>
          <w:sz w:val="24"/>
          <w:szCs w:val="24"/>
          <w:lang w:val="bg-BG"/>
        </w:rPr>
      </w:pPr>
    </w:p>
    <w:p w14:paraId="6E47F7A8"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lastRenderedPageBreak/>
        <w:t xml:space="preserve">1. </w:t>
      </w:r>
      <w:r w:rsidRPr="00E81A6E">
        <w:rPr>
          <w:rFonts w:ascii="Times New Roman" w:hAnsi="Times New Roman" w:cs="Times New Roman"/>
          <w:b/>
          <w:sz w:val="24"/>
          <w:szCs w:val="24"/>
          <w:lang w:val="bg-BG"/>
        </w:rPr>
        <w:t>Изграждане на стратегическата инфраструктура на София</w:t>
      </w:r>
      <w:r w:rsidRPr="00E81A6E">
        <w:rPr>
          <w:rFonts w:ascii="Times New Roman" w:hAnsi="Times New Roman" w:cs="Times New Roman"/>
          <w:sz w:val="24"/>
          <w:szCs w:val="24"/>
          <w:lang w:val="bg-BG"/>
        </w:rPr>
        <w:t xml:space="preserve"> и ремонти в кварталите</w:t>
      </w:r>
    </w:p>
    <w:p w14:paraId="59F4CFBB" w14:textId="77777777" w:rsidR="00F93D99" w:rsidRPr="00E81A6E" w:rsidRDefault="00F93D99" w:rsidP="00350B12">
      <w:pPr>
        <w:pStyle w:val="ListParagraph"/>
        <w:numPr>
          <w:ilvl w:val="1"/>
          <w:numId w:val="41"/>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реновиране на основни улици и булеварди, трамвайни трасета и изграждане на нова инфраструктура, която да облекчи движението в града.</w:t>
      </w:r>
    </w:p>
    <w:p w14:paraId="1FD221C3" w14:textId="77777777" w:rsidR="00F93D99" w:rsidRPr="00E81A6E" w:rsidRDefault="00F93D99" w:rsidP="00350B12">
      <w:pPr>
        <w:pStyle w:val="ListParagraph"/>
        <w:numPr>
          <w:ilvl w:val="1"/>
          <w:numId w:val="41"/>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ВиК инфраструктура</w:t>
      </w:r>
    </w:p>
    <w:p w14:paraId="5B65EDBC"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2.  </w:t>
      </w:r>
      <w:r w:rsidRPr="00E81A6E">
        <w:rPr>
          <w:rFonts w:ascii="Times New Roman" w:hAnsi="Times New Roman" w:cs="Times New Roman"/>
          <w:b/>
          <w:sz w:val="24"/>
          <w:szCs w:val="24"/>
          <w:lang w:val="bg-BG"/>
        </w:rPr>
        <w:t>Изграждане на детски градини и ясли</w:t>
      </w:r>
      <w:r w:rsidRPr="00E81A6E">
        <w:rPr>
          <w:rFonts w:ascii="Times New Roman" w:hAnsi="Times New Roman" w:cs="Times New Roman"/>
          <w:sz w:val="24"/>
          <w:szCs w:val="24"/>
          <w:lang w:val="bg-BG"/>
        </w:rPr>
        <w:t>, с оглед преодоляване на недостига и осигуряване на места за всички деца от три- до шестгодишна възраст. Подобряване условията за качествено образование и възпитание.</w:t>
      </w:r>
    </w:p>
    <w:p w14:paraId="705E3277" w14:textId="77777777" w:rsidR="00F93D99" w:rsidRPr="00E81A6E" w:rsidRDefault="00F93D99" w:rsidP="00350B12">
      <w:pPr>
        <w:pStyle w:val="ListParagraph"/>
        <w:numPr>
          <w:ilvl w:val="0"/>
          <w:numId w:val="42"/>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изграждане на нови сгради и разширения на детски градини и ясли</w:t>
      </w:r>
    </w:p>
    <w:p w14:paraId="68C2F205" w14:textId="77777777" w:rsidR="00F93D99" w:rsidRPr="00E81A6E" w:rsidRDefault="00F93D99" w:rsidP="00350B12">
      <w:pPr>
        <w:pStyle w:val="ListParagraph"/>
        <w:numPr>
          <w:ilvl w:val="0"/>
          <w:numId w:val="42"/>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изграждане на нови училищни корпуси и основни ремонти на училища</w:t>
      </w:r>
    </w:p>
    <w:p w14:paraId="19CB8E26"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3. </w:t>
      </w:r>
      <w:r w:rsidRPr="00E81A6E">
        <w:rPr>
          <w:rFonts w:ascii="Times New Roman" w:hAnsi="Times New Roman" w:cs="Times New Roman"/>
          <w:b/>
          <w:sz w:val="24"/>
          <w:szCs w:val="24"/>
          <w:lang w:val="bg-BG"/>
        </w:rPr>
        <w:t xml:space="preserve">Подобряване качеството на въздуха и чистотата в града, </w:t>
      </w:r>
      <w:r w:rsidRPr="00E81A6E">
        <w:rPr>
          <w:rFonts w:ascii="Times New Roman" w:hAnsi="Times New Roman" w:cs="Times New Roman"/>
          <w:sz w:val="24"/>
          <w:szCs w:val="24"/>
          <w:lang w:val="bg-BG"/>
        </w:rPr>
        <w:t xml:space="preserve">екологичен градски транспорт. </w:t>
      </w:r>
    </w:p>
    <w:p w14:paraId="31190399" w14:textId="77777777" w:rsidR="00F93D99" w:rsidRPr="00E81A6E" w:rsidRDefault="00F93D99" w:rsidP="00350B12">
      <w:pPr>
        <w:pStyle w:val="ListParagraph"/>
        <w:numPr>
          <w:ilvl w:val="0"/>
          <w:numId w:val="43"/>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подмяна на старите печки на дърва и въглища с нови екологични уреди за отопление</w:t>
      </w:r>
    </w:p>
    <w:p w14:paraId="27ABDC7A" w14:textId="77777777" w:rsidR="00F93D99" w:rsidRPr="00E81A6E" w:rsidRDefault="00F93D99" w:rsidP="00350B12">
      <w:pPr>
        <w:pStyle w:val="ListParagraph"/>
        <w:numPr>
          <w:ilvl w:val="0"/>
          <w:numId w:val="43"/>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изграждане на трети метродиаметър на Метро-София.</w:t>
      </w:r>
    </w:p>
    <w:p w14:paraId="0735EA46" w14:textId="77777777" w:rsidR="00F93D99" w:rsidRPr="00E81A6E" w:rsidRDefault="00F93D99" w:rsidP="00350B12">
      <w:pPr>
        <w:pStyle w:val="ListParagraph"/>
        <w:numPr>
          <w:ilvl w:val="0"/>
          <w:numId w:val="43"/>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модернизация на градския транспорт чрез закупуване и доставка на електрически превозни средства за релсов и шосеен транспорт  /трамваи, тролейбуси, електробуси, метровлакове/</w:t>
      </w:r>
    </w:p>
    <w:p w14:paraId="3A692A84" w14:textId="77777777" w:rsidR="00F93D99" w:rsidRPr="00E81A6E" w:rsidRDefault="00F93D99" w:rsidP="00350B12">
      <w:pPr>
        <w:pStyle w:val="ListParagraph"/>
        <w:numPr>
          <w:ilvl w:val="0"/>
          <w:numId w:val="43"/>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реновиране на паркове</w:t>
      </w:r>
    </w:p>
    <w:p w14:paraId="6F90CE6F" w14:textId="77777777" w:rsidR="004E66C7" w:rsidRPr="00E81A6E" w:rsidRDefault="004E66C7" w:rsidP="00F55B06">
      <w:pPr>
        <w:spacing w:after="0" w:line="240" w:lineRule="auto"/>
        <w:ind w:firstLine="720"/>
        <w:contextualSpacing/>
        <w:jc w:val="both"/>
        <w:rPr>
          <w:rFonts w:ascii="Times New Roman" w:hAnsi="Times New Roman" w:cs="Times New Roman"/>
          <w:sz w:val="24"/>
          <w:szCs w:val="24"/>
          <w:lang w:val="bg-BG"/>
        </w:rPr>
      </w:pPr>
    </w:p>
    <w:p w14:paraId="214C7947"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През 2021г. ще се усвояват европейски средства за реализация на проекти по Оперативни програми “Транспорт и транспортна инфраструктура“, „Региони в растеж”, „Околна среда“, „Наука и образование за интелигентен растеж“ , „Развитие на човешките ресурси“ и други, като се предвиждат разходи  в размер на 296,230,374 лв. както следва: </w:t>
      </w:r>
    </w:p>
    <w:p w14:paraId="0DD56380"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u w:val="single"/>
          <w:lang w:val="bg-BG"/>
        </w:rPr>
        <w:t>ОП „Транспорт и транспортна инфраструктура ”</w:t>
      </w:r>
      <w:r w:rsidRPr="00E81A6E">
        <w:rPr>
          <w:rFonts w:ascii="Times New Roman" w:hAnsi="Times New Roman" w:cs="Times New Roman"/>
          <w:sz w:val="24"/>
          <w:szCs w:val="24"/>
          <w:lang w:val="bg-BG"/>
        </w:rPr>
        <w:t xml:space="preserve"> – 34,939,310 лв. за изграждане на участък от трети метродиаметър и монтаж на вертикални преградни врати на станциите от първи и втори метродиаметър;</w:t>
      </w:r>
    </w:p>
    <w:p w14:paraId="4E56DCA6"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u w:val="single"/>
          <w:lang w:val="bg-BG"/>
        </w:rPr>
        <w:t>ОП „Региони в растеж”</w:t>
      </w:r>
      <w:r w:rsidRPr="00E81A6E">
        <w:rPr>
          <w:rFonts w:ascii="Times New Roman" w:hAnsi="Times New Roman" w:cs="Times New Roman"/>
          <w:sz w:val="24"/>
          <w:szCs w:val="24"/>
          <w:lang w:val="bg-BG"/>
        </w:rPr>
        <w:t xml:space="preserve"> – по проект „Изпълнение на интегрирани планове за градско възстановяване и развитие 2014-2020“:  10 640 000 лв. за изграждане, възстановяване и обновяване на публични пространства в ЦГЧ,  3 076 690 лв. за ремонт и възстановяване на „Западен парк“ и парк „Борисова градина“, 1 100 000 лв. за обновяване на театър „София“ и  5 498 460 лв.  за изграждане на инфраструктура за създаване на нови социални услуги в Столична община; по проект „Интегриран столичен градски транспорт-фаза </w:t>
      </w:r>
      <w:r w:rsidRPr="00E81A6E">
        <w:rPr>
          <w:rFonts w:ascii="Times New Roman" w:hAnsi="Times New Roman" w:cs="Times New Roman"/>
          <w:sz w:val="24"/>
          <w:szCs w:val="24"/>
        </w:rPr>
        <w:t>II</w:t>
      </w:r>
      <w:r w:rsidRPr="00E81A6E">
        <w:rPr>
          <w:rFonts w:ascii="Times New Roman" w:hAnsi="Times New Roman" w:cs="Times New Roman"/>
          <w:sz w:val="24"/>
          <w:szCs w:val="24"/>
          <w:lang w:val="bg-BG"/>
        </w:rPr>
        <w:t xml:space="preserve">“ : за реконструкция на трамвайна линия по бул.“Цар Борис </w:t>
      </w:r>
      <w:r w:rsidRPr="00E81A6E">
        <w:rPr>
          <w:rFonts w:ascii="Times New Roman" w:hAnsi="Times New Roman" w:cs="Times New Roman"/>
          <w:sz w:val="24"/>
          <w:szCs w:val="24"/>
        </w:rPr>
        <w:t>III</w:t>
      </w:r>
      <w:r w:rsidRPr="00E81A6E">
        <w:rPr>
          <w:rFonts w:ascii="Times New Roman" w:hAnsi="Times New Roman" w:cs="Times New Roman"/>
          <w:sz w:val="24"/>
          <w:szCs w:val="24"/>
          <w:lang w:val="bg-BG"/>
        </w:rPr>
        <w:t xml:space="preserve">“ и видеонаблюдение  - 31 829 360лв. </w:t>
      </w:r>
    </w:p>
    <w:p w14:paraId="755B9A27"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u w:val="single"/>
          <w:lang w:val="bg-BG"/>
        </w:rPr>
        <w:t xml:space="preserve"> ОП „Околна среда“</w:t>
      </w:r>
      <w:r w:rsidRPr="00E81A6E">
        <w:rPr>
          <w:rFonts w:ascii="Times New Roman" w:hAnsi="Times New Roman" w:cs="Times New Roman"/>
          <w:sz w:val="24"/>
          <w:szCs w:val="24"/>
          <w:lang w:val="bg-BG"/>
        </w:rPr>
        <w:t xml:space="preserve"> – 111 989 114 лв. за проект „Изпълнение на дейности за подобряване качеството на атмосферния въздух чрез закупуване и доставка на електрически превозни средства за релсов и шосеен транспорт“; 12 130 333 лв. за подобряване качеството на атмосферния въздух в Столична община чрез подмяната на отоплителни устройства на твърдо гориво с екологични алтернативи; за трета фаза на интегрираната система от съоръжения за третиране на битови отпадъци „Проектиране и изграждане на инсталация за комбинирано производство на енергия в София с оползотворяване на </w:t>
      </w:r>
      <w:r w:rsidRPr="00E81A6E">
        <w:rPr>
          <w:rFonts w:ascii="Times New Roman" w:hAnsi="Times New Roman" w:cs="Times New Roman"/>
          <w:sz w:val="24"/>
          <w:szCs w:val="24"/>
        </w:rPr>
        <w:t>RDF</w:t>
      </w:r>
      <w:r w:rsidRPr="00E81A6E">
        <w:rPr>
          <w:rFonts w:ascii="Times New Roman" w:hAnsi="Times New Roman" w:cs="Times New Roman"/>
          <w:sz w:val="24"/>
          <w:szCs w:val="24"/>
          <w:lang w:val="bg-BG"/>
        </w:rPr>
        <w:t xml:space="preserve">“ – 61 000 000лв. и 18 694 303 лв. за стартиране на Етап </w:t>
      </w:r>
      <w:r w:rsidRPr="00E81A6E">
        <w:rPr>
          <w:rFonts w:ascii="Times New Roman" w:hAnsi="Times New Roman" w:cs="Times New Roman"/>
          <w:sz w:val="24"/>
          <w:szCs w:val="24"/>
        </w:rPr>
        <w:t>I</w:t>
      </w:r>
      <w:r w:rsidRPr="00E81A6E">
        <w:rPr>
          <w:rFonts w:ascii="Times New Roman" w:hAnsi="Times New Roman" w:cs="Times New Roman"/>
          <w:sz w:val="24"/>
          <w:szCs w:val="24"/>
          <w:lang w:val="bg-BG"/>
        </w:rPr>
        <w:t xml:space="preserve"> от програмата за изграждане на  ВиК на територията на Столична община.</w:t>
      </w:r>
    </w:p>
    <w:p w14:paraId="5635BFCE"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u w:val="single"/>
          <w:lang w:val="bg-BG"/>
        </w:rPr>
        <w:t>ОП „Наука и образование за интелигентен растеж“</w:t>
      </w:r>
      <w:r w:rsidRPr="00E81A6E">
        <w:rPr>
          <w:rFonts w:ascii="Times New Roman" w:hAnsi="Times New Roman" w:cs="Times New Roman"/>
          <w:sz w:val="24"/>
          <w:szCs w:val="24"/>
          <w:lang w:val="bg-BG"/>
        </w:rPr>
        <w:t xml:space="preserve"> – 3 319 912 лв. за „Реконструкция и модернизация на сграда баня „Овча купел“ - етап I“</w:t>
      </w:r>
    </w:p>
    <w:p w14:paraId="670C2291"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lastRenderedPageBreak/>
        <w:t xml:space="preserve"> </w:t>
      </w:r>
      <w:r w:rsidRPr="00E81A6E">
        <w:rPr>
          <w:rFonts w:ascii="Times New Roman" w:hAnsi="Times New Roman" w:cs="Times New Roman"/>
          <w:sz w:val="24"/>
          <w:szCs w:val="24"/>
          <w:u w:val="single"/>
          <w:lang w:val="bg-BG"/>
        </w:rPr>
        <w:t>ОП „Развитие на човешките ресурси“</w:t>
      </w:r>
      <w:r w:rsidRPr="00E81A6E">
        <w:rPr>
          <w:rFonts w:ascii="Times New Roman" w:hAnsi="Times New Roman" w:cs="Times New Roman"/>
          <w:sz w:val="24"/>
          <w:szCs w:val="24"/>
          <w:lang w:val="bg-BG"/>
        </w:rPr>
        <w:t xml:space="preserve"> – 876 450 лв.</w:t>
      </w:r>
    </w:p>
    <w:p w14:paraId="5797019F" w14:textId="77777777" w:rsidR="00F93D99" w:rsidRPr="00E81A6E" w:rsidRDefault="00F93D99" w:rsidP="00350B12">
      <w:pPr>
        <w:numPr>
          <w:ilvl w:val="0"/>
          <w:numId w:val="44"/>
        </w:numPr>
        <w:spacing w:after="0" w:line="240" w:lineRule="auto"/>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други оперативни и донорски програми – 1 136 442 лв.</w:t>
      </w:r>
    </w:p>
    <w:p w14:paraId="57260EA5" w14:textId="77777777" w:rsidR="00F93D99" w:rsidRPr="00E81A6E" w:rsidRDefault="00F93D99" w:rsidP="00F55B06">
      <w:pPr>
        <w:spacing w:after="0" w:line="240" w:lineRule="auto"/>
        <w:ind w:firstLine="720"/>
        <w:contextualSpacing/>
        <w:rPr>
          <w:rFonts w:ascii="Times New Roman" w:hAnsi="Times New Roman" w:cs="Times New Roman"/>
          <w:sz w:val="24"/>
          <w:szCs w:val="24"/>
          <w:lang w:val="bg-BG"/>
        </w:rPr>
      </w:pPr>
    </w:p>
    <w:p w14:paraId="6A0CC0A2"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При съставяне на поименния списък приоритетно са разчетени средства за преходни обекти от минали години и такива, за които има сключени договори.</w:t>
      </w:r>
    </w:p>
    <w:p w14:paraId="0646E7E3" w14:textId="77777777" w:rsidR="00F93D99" w:rsidRPr="00E81A6E" w:rsidRDefault="00F93D99" w:rsidP="00F55B06">
      <w:pPr>
        <w:spacing w:after="0" w:line="240" w:lineRule="auto"/>
        <w:ind w:firstLine="720"/>
        <w:contextualSpacing/>
        <w:jc w:val="both"/>
        <w:rPr>
          <w:rFonts w:ascii="Times New Roman" w:hAnsi="Times New Roman" w:cs="Times New Roman"/>
          <w:i/>
          <w:sz w:val="24"/>
          <w:szCs w:val="24"/>
          <w:lang w:val="bg-BG"/>
        </w:rPr>
      </w:pPr>
      <w:r w:rsidRPr="00E81A6E">
        <w:rPr>
          <w:rFonts w:ascii="Times New Roman" w:hAnsi="Times New Roman" w:cs="Times New Roman"/>
          <w:sz w:val="24"/>
          <w:szCs w:val="24"/>
          <w:lang w:val="bg-BG"/>
        </w:rPr>
        <w:t xml:space="preserve">Разпределението на инвестиционната програма по функции, обекти и източници за финансиране е отразено подробно в Приложение № 3. Обектите имащи отношение към изпълнение на стратегическите цели на Бюджет 2021 са отразени във функции  „Жилищно строителство, БКС и опазване на околната среда” и ”Икономически дейности и услуги” за </w:t>
      </w:r>
      <w:r w:rsidRPr="00E81A6E">
        <w:rPr>
          <w:rFonts w:ascii="Times New Roman" w:hAnsi="Times New Roman" w:cs="Times New Roman"/>
          <w:i/>
          <w:sz w:val="24"/>
          <w:szCs w:val="24"/>
          <w:lang w:val="bg-BG"/>
        </w:rPr>
        <w:t>изграждане на стратегическа инфраструктура</w:t>
      </w:r>
      <w:r w:rsidRPr="00E81A6E">
        <w:rPr>
          <w:rFonts w:ascii="Times New Roman" w:hAnsi="Times New Roman" w:cs="Times New Roman"/>
          <w:sz w:val="24"/>
          <w:szCs w:val="24"/>
          <w:lang w:val="bg-BG"/>
        </w:rPr>
        <w:t xml:space="preserve">  и </w:t>
      </w:r>
      <w:r w:rsidRPr="00E81A6E">
        <w:rPr>
          <w:rFonts w:ascii="Times New Roman" w:hAnsi="Times New Roman" w:cs="Times New Roman"/>
          <w:i/>
          <w:sz w:val="24"/>
          <w:szCs w:val="24"/>
          <w:lang w:val="bg-BG"/>
        </w:rPr>
        <w:t>подобряване качеството на въздуха и екологичен градски транспорт;</w:t>
      </w:r>
      <w:r w:rsidRPr="00E81A6E">
        <w:rPr>
          <w:rFonts w:ascii="Times New Roman" w:hAnsi="Times New Roman" w:cs="Times New Roman"/>
          <w:sz w:val="24"/>
          <w:szCs w:val="24"/>
          <w:lang w:val="bg-BG"/>
        </w:rPr>
        <w:t xml:space="preserve"> Функции „Образование” и „Здравеопазване“ за  </w:t>
      </w:r>
      <w:r w:rsidRPr="00E81A6E">
        <w:rPr>
          <w:rFonts w:ascii="Times New Roman" w:hAnsi="Times New Roman" w:cs="Times New Roman"/>
          <w:i/>
          <w:sz w:val="24"/>
          <w:szCs w:val="24"/>
          <w:lang w:val="bg-BG"/>
        </w:rPr>
        <w:t>изграждане на детски градини и ясли.</w:t>
      </w:r>
    </w:p>
    <w:p w14:paraId="693AAB8E" w14:textId="77777777" w:rsidR="004E66C7" w:rsidRPr="00E81A6E" w:rsidRDefault="004E66C7" w:rsidP="00F55B06">
      <w:pPr>
        <w:spacing w:after="0" w:line="240" w:lineRule="auto"/>
        <w:ind w:firstLine="720"/>
        <w:contextualSpacing/>
        <w:jc w:val="both"/>
        <w:rPr>
          <w:rFonts w:ascii="Times New Roman" w:hAnsi="Times New Roman" w:cs="Times New Roman"/>
          <w:i/>
          <w:sz w:val="24"/>
          <w:szCs w:val="24"/>
          <w:lang w:val="bg-BG"/>
        </w:rPr>
      </w:pPr>
    </w:p>
    <w:p w14:paraId="0AD45A5B" w14:textId="77777777" w:rsidR="00F93D99" w:rsidRPr="00E81A6E" w:rsidRDefault="00F93D99" w:rsidP="00F55B06">
      <w:pPr>
        <w:pStyle w:val="Heading3"/>
        <w:spacing w:before="0"/>
        <w:ind w:firstLine="720"/>
        <w:contextualSpacing/>
        <w:rPr>
          <w:rFonts w:ascii="Times New Roman" w:hAnsi="Times New Roman" w:cs="Times New Roman"/>
          <w:color w:val="auto"/>
          <w:sz w:val="24"/>
          <w:szCs w:val="24"/>
          <w:lang w:val="bg-BG"/>
        </w:rPr>
      </w:pPr>
      <w:bookmarkStart w:id="128" w:name="_Toc535398358"/>
      <w:bookmarkStart w:id="129" w:name="_Toc30592771"/>
      <w:r w:rsidRPr="00E81A6E">
        <w:rPr>
          <w:rFonts w:ascii="Times New Roman" w:hAnsi="Times New Roman" w:cs="Times New Roman"/>
          <w:color w:val="auto"/>
          <w:sz w:val="24"/>
          <w:szCs w:val="24"/>
          <w:lang w:val="bg-BG"/>
        </w:rPr>
        <w:t>Функция „Общи държавни служби”</w:t>
      </w:r>
      <w:bookmarkEnd w:id="128"/>
      <w:bookmarkEnd w:id="129"/>
    </w:p>
    <w:p w14:paraId="0F9AFA87" w14:textId="77777777" w:rsidR="00F93D99"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Включва капиталови разходи за общинската и районни администрации на обща стойност 4,968,571 лв., от които 750,000 лв. са за финансиране доставки на дълготрайни активи, подпомагащи административната дейност, а 1,186,271 лв. за ремонт на административни сгради, разчетени основно за приключване и пускане в експлоатация на обект „Консервация и реставрация на минерална баня гр.Банкя“ съгласно решение №235 от 27.04.2017г. на СОС. С оглед увеличаването на броя и качеството на общинските електронни услуги, в §5300 са предвидени  3,032,300 лв. за инвестиции в дигитализация, програмни продукти и лицензи.</w:t>
      </w:r>
    </w:p>
    <w:p w14:paraId="4789B9A0" w14:textId="77777777" w:rsidR="00882664" w:rsidRPr="00E81A6E" w:rsidRDefault="00882664" w:rsidP="00F55B06">
      <w:pPr>
        <w:spacing w:after="0" w:line="240" w:lineRule="auto"/>
        <w:ind w:firstLine="720"/>
        <w:contextualSpacing/>
        <w:jc w:val="both"/>
        <w:rPr>
          <w:rFonts w:ascii="Times New Roman" w:hAnsi="Times New Roman" w:cs="Times New Roman"/>
          <w:sz w:val="24"/>
          <w:szCs w:val="24"/>
          <w:lang w:val="bg-BG"/>
        </w:rPr>
      </w:pPr>
    </w:p>
    <w:p w14:paraId="09A30BE4" w14:textId="77777777" w:rsidR="004E66C7" w:rsidRPr="00E81A6E" w:rsidRDefault="004E66C7" w:rsidP="00F55B06">
      <w:pPr>
        <w:spacing w:after="0" w:line="240" w:lineRule="auto"/>
        <w:ind w:firstLine="720"/>
        <w:contextualSpacing/>
        <w:jc w:val="both"/>
        <w:rPr>
          <w:rFonts w:ascii="Times New Roman" w:hAnsi="Times New Roman" w:cs="Times New Roman"/>
          <w:sz w:val="24"/>
          <w:szCs w:val="24"/>
          <w:lang w:val="bg-BG"/>
        </w:rPr>
      </w:pPr>
    </w:p>
    <w:p w14:paraId="4F0BD85C" w14:textId="77777777" w:rsidR="00F93D99" w:rsidRPr="00E81A6E" w:rsidRDefault="00F93D99" w:rsidP="00F55B06">
      <w:pPr>
        <w:spacing w:after="0" w:line="240" w:lineRule="auto"/>
        <w:ind w:firstLine="720"/>
        <w:contextualSpacing/>
        <w:outlineLvl w:val="2"/>
        <w:rPr>
          <w:rFonts w:ascii="Times New Roman" w:hAnsi="Times New Roman" w:cs="Times New Roman"/>
          <w:b/>
          <w:bCs/>
          <w:sz w:val="24"/>
          <w:szCs w:val="24"/>
          <w:lang w:val="bg-BG" w:eastAsia="en-US"/>
        </w:rPr>
      </w:pPr>
      <w:bookmarkStart w:id="130" w:name="_Toc30592772"/>
      <w:r w:rsidRPr="00E81A6E">
        <w:rPr>
          <w:rFonts w:ascii="Times New Roman" w:hAnsi="Times New Roman" w:cs="Times New Roman"/>
          <w:sz w:val="24"/>
          <w:szCs w:val="24"/>
          <w:lang w:val="bg-BG" w:eastAsia="en-US"/>
        </w:rPr>
        <w:t>Функция „Отбрана и сигурност”</w:t>
      </w:r>
      <w:bookmarkEnd w:id="130"/>
    </w:p>
    <w:p w14:paraId="1478138C"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eastAsia="en-US"/>
        </w:rPr>
      </w:pPr>
      <w:r w:rsidRPr="00E81A6E">
        <w:rPr>
          <w:rFonts w:ascii="Times New Roman" w:hAnsi="Times New Roman" w:cs="Times New Roman"/>
          <w:sz w:val="24"/>
          <w:szCs w:val="24"/>
          <w:lang w:val="bg-BG" w:eastAsia="en-US"/>
        </w:rPr>
        <w:t xml:space="preserve">Осигурени са средства в размер на 1,646,418 лв. в т.ч. 751,800 преходен остатък. За развитие на системата за видеонаблюдение на територията на Столична община са определени </w:t>
      </w:r>
      <w:r w:rsidR="004829C6" w:rsidRPr="00E81A6E">
        <w:rPr>
          <w:rFonts w:ascii="Times New Roman" w:hAnsi="Times New Roman" w:cs="Times New Roman"/>
          <w:sz w:val="24"/>
          <w:szCs w:val="24"/>
          <w:lang w:val="bg-BG" w:eastAsia="en-US"/>
        </w:rPr>
        <w:t>1,000,</w:t>
      </w:r>
      <w:r w:rsidRPr="00E81A6E">
        <w:rPr>
          <w:rFonts w:ascii="Times New Roman" w:hAnsi="Times New Roman" w:cs="Times New Roman"/>
          <w:sz w:val="24"/>
          <w:szCs w:val="24"/>
          <w:lang w:val="bg-BG" w:eastAsia="en-US"/>
        </w:rPr>
        <w:t>000 лв.   Продължава реализацията на  обект “Проектиране и строителство на пристройка на един етаж към съществуващи едноетажни сгради в м. Център-ЗонаА-Север“ на стойност 311,400 лв., а  335, 018 лв. са за сметка на приватизационния фонд и ще се разходват за развитие на системата за ранно предупреждение при наводнения и за изграждане на желязна решетъчна кула и оборудване.</w:t>
      </w:r>
    </w:p>
    <w:p w14:paraId="5D929855" w14:textId="77777777" w:rsidR="004829C6" w:rsidRPr="00E81A6E" w:rsidRDefault="004829C6" w:rsidP="00F55B06">
      <w:pPr>
        <w:spacing w:after="0" w:line="240" w:lineRule="auto"/>
        <w:ind w:firstLine="720"/>
        <w:contextualSpacing/>
        <w:jc w:val="both"/>
        <w:rPr>
          <w:rFonts w:ascii="Times New Roman" w:hAnsi="Times New Roman" w:cs="Times New Roman"/>
          <w:sz w:val="24"/>
          <w:szCs w:val="24"/>
          <w:lang w:val="bg-BG" w:eastAsia="en-US"/>
        </w:rPr>
      </w:pPr>
    </w:p>
    <w:p w14:paraId="5BEAD0BD" w14:textId="77777777" w:rsidR="00F93D99" w:rsidRPr="00E81A6E" w:rsidRDefault="00F93D99" w:rsidP="00F55B06">
      <w:pPr>
        <w:pStyle w:val="Heading3"/>
        <w:spacing w:before="0"/>
        <w:ind w:firstLine="720"/>
        <w:contextualSpacing/>
        <w:rPr>
          <w:rFonts w:ascii="Times New Roman" w:hAnsi="Times New Roman" w:cs="Times New Roman"/>
          <w:color w:val="auto"/>
          <w:sz w:val="24"/>
          <w:szCs w:val="24"/>
          <w:lang w:val="bg-BG"/>
        </w:rPr>
      </w:pPr>
      <w:bookmarkStart w:id="131" w:name="_Toc535398359"/>
      <w:bookmarkStart w:id="132" w:name="_Toc30592773"/>
      <w:r w:rsidRPr="00E81A6E">
        <w:rPr>
          <w:rFonts w:ascii="Times New Roman" w:hAnsi="Times New Roman" w:cs="Times New Roman"/>
          <w:color w:val="auto"/>
          <w:sz w:val="24"/>
          <w:szCs w:val="24"/>
          <w:lang w:val="bg-BG"/>
        </w:rPr>
        <w:t>Функция „Образование”</w:t>
      </w:r>
      <w:bookmarkEnd w:id="131"/>
      <w:bookmarkEnd w:id="132"/>
    </w:p>
    <w:p w14:paraId="5A56D706"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Предвидените средства във функция „Образование“ са в размер на общо 42,023,064 лв. За изграждане, разширение, реконструкция и основен ремонт на детски градини се предвиждат 33,747,833 лв., основна част от които са преходен остатък от предоставени с ПМС  №117/05.06.2020г.  и ПМС№181/31.07.2020г. целеви средства. Ще се довърши изграждането, разширението и преустройството на 12 детски заведения, с които ще се осигурят допълнително 44 групи. Ще има нови детски градини в Кремиковци /Сеславци/, Възраждане, Витоша, Овча купел, Триадица /Манастирски ливади/, Люлин /Филиповци/, Подуяне, Изгрев. Над 6 млн. лв. ще бъдат инвестирани в изграждане на нови училищни корпуси и основни ремонти в 7 училища, като през 2021г. ще приключат: изграждане на нови учебни корпуси към сградите на 52 ОУ в район „Витоша“ и  28 СУ в район „Красна поляна“;  изграждането на нова кухня в 104 ОУ в район „Триадица“ и на физкултурен салон и кухня в 100 ОУ район „Сердика“; конструктивно - възстановителни работи и енергийна ефективност на сградата на 106 ОУ в </w:t>
      </w:r>
      <w:r w:rsidRPr="00E81A6E">
        <w:rPr>
          <w:rFonts w:ascii="Times New Roman" w:hAnsi="Times New Roman" w:cs="Times New Roman"/>
          <w:sz w:val="24"/>
          <w:szCs w:val="24"/>
          <w:lang w:val="bg-BG"/>
        </w:rPr>
        <w:lastRenderedPageBreak/>
        <w:t xml:space="preserve">район „Подуяне“. В ход е изграждането на нов учебен блок и физкултурен салон на 9-та ФЕГ „Алфонс дьо Ламартин“  - 3,4 млн. лв. за 2021г. </w:t>
      </w:r>
    </w:p>
    <w:p w14:paraId="5083DE64"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 изготвяне на инвестиционни проекти на сгради от образователната инфраструктура са разчетени 1,700,000 лв. в т.ч. на 19 нови сгради за детски градини, които ще бъдат включени в строителната програма догодина и на две нови училища в райони „Студентски“ и „Витоша“ /м.Манастирски ливади-запад/.</w:t>
      </w:r>
    </w:p>
    <w:p w14:paraId="6DF77AAB"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През 2021г., Столична община ще стартира изпълнението на първия предложен и събрал най-много гласове от гражданите проект  по програма „София избира“, а именно </w:t>
      </w:r>
      <w:r w:rsidRPr="00E81A6E">
        <w:rPr>
          <w:rFonts w:ascii="Times New Roman" w:hAnsi="Times New Roman" w:cs="Times New Roman"/>
          <w:sz w:val="24"/>
          <w:szCs w:val="24"/>
          <w:lang w:val="bg-BG" w:eastAsia="en-US"/>
        </w:rPr>
        <w:t>"София избира Децата –</w:t>
      </w:r>
      <w:r w:rsidRPr="00E81A6E">
        <w:rPr>
          <w:rFonts w:ascii="Times New Roman" w:hAnsi="Times New Roman" w:cs="Times New Roman"/>
          <w:sz w:val="24"/>
          <w:szCs w:val="24"/>
          <w:lang w:eastAsia="en-US"/>
        </w:rPr>
        <w:t> </w:t>
      </w:r>
      <w:r w:rsidRPr="00E81A6E">
        <w:rPr>
          <w:rFonts w:ascii="Times New Roman" w:hAnsi="Times New Roman" w:cs="Times New Roman"/>
          <w:sz w:val="24"/>
          <w:szCs w:val="24"/>
          <w:lang w:val="bg-BG" w:eastAsia="en-US"/>
        </w:rPr>
        <w:t xml:space="preserve">създаване на съвременни училищни тоалетни“. </w:t>
      </w:r>
      <w:r w:rsidRPr="00E81A6E">
        <w:rPr>
          <w:rFonts w:ascii="Times New Roman" w:hAnsi="Times New Roman" w:cs="Times New Roman"/>
          <w:sz w:val="24"/>
          <w:szCs w:val="24"/>
          <w:lang w:val="bg-BG"/>
        </w:rPr>
        <w:t>1,5 млн. лв. са гарантираните средства за техния ремонт и модернизация.</w:t>
      </w:r>
    </w:p>
    <w:p w14:paraId="4A29D1E1" w14:textId="77777777" w:rsidR="004829C6" w:rsidRPr="00E81A6E" w:rsidRDefault="004829C6" w:rsidP="00F55B06">
      <w:pPr>
        <w:spacing w:after="0" w:line="240" w:lineRule="auto"/>
        <w:ind w:firstLine="720"/>
        <w:contextualSpacing/>
        <w:jc w:val="both"/>
        <w:rPr>
          <w:rFonts w:ascii="Times New Roman" w:hAnsi="Times New Roman" w:cs="Times New Roman"/>
          <w:sz w:val="24"/>
          <w:szCs w:val="24"/>
          <w:lang w:val="bg-BG" w:eastAsia="en-US"/>
        </w:rPr>
      </w:pPr>
    </w:p>
    <w:p w14:paraId="416583F9" w14:textId="77777777" w:rsidR="00F93D99" w:rsidRPr="00E81A6E" w:rsidRDefault="00F93D99" w:rsidP="00F55B06">
      <w:pPr>
        <w:pStyle w:val="Heading3"/>
        <w:spacing w:before="0"/>
        <w:ind w:firstLine="720"/>
        <w:contextualSpacing/>
        <w:rPr>
          <w:rFonts w:ascii="Times New Roman" w:hAnsi="Times New Roman" w:cs="Times New Roman"/>
          <w:color w:val="auto"/>
          <w:sz w:val="24"/>
          <w:szCs w:val="24"/>
          <w:lang w:val="bg-BG"/>
        </w:rPr>
      </w:pPr>
      <w:bookmarkStart w:id="133" w:name="_Toc535398360"/>
      <w:bookmarkStart w:id="134" w:name="_Toc30592774"/>
      <w:r w:rsidRPr="00E81A6E">
        <w:rPr>
          <w:rFonts w:ascii="Times New Roman" w:hAnsi="Times New Roman" w:cs="Times New Roman"/>
          <w:color w:val="auto"/>
          <w:sz w:val="24"/>
          <w:szCs w:val="24"/>
          <w:lang w:val="bg-BG"/>
        </w:rPr>
        <w:t>Функция „Здравеопазване“</w:t>
      </w:r>
      <w:bookmarkEnd w:id="133"/>
      <w:bookmarkEnd w:id="134"/>
    </w:p>
    <w:p w14:paraId="6E84BC20"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Осигурени са  средства  в размер на 25,020,000 лева. От тях 800,000 лв., преходен остатък държавна отговорност, ще се насочи за финансиране закупуването на оборудване и ремонтни дейности в яслените заведения и комплексите за детско хранене. За изграждане и реконструкция на детски ясли на територията на райони Лозенец, Люлин, Красна поляна, Красно село и Триадица са предвидени 23,200,000 лв. Средствата са целеви, отпуснати с ПМС№181/31.07.2020г.</w:t>
      </w:r>
    </w:p>
    <w:p w14:paraId="7531FB34"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През 2021г. София ще има своята първа общинска детска поликлиника. След като бившия център по наркомании в район „Възраждане“ бъде основно реконструиран, същият ще се превърне в детски медицински център където децата да получават компетентна доболнична здравна помощ 24/7. За целта са заделени 1,020,000 лв. за ремонт на сградата, асансьор и оборудване/без медицинска апаратура/. Към момента тече процедура по избор на изпълнител.</w:t>
      </w:r>
    </w:p>
    <w:p w14:paraId="197EE32B"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Общо, за осигуряване на места в детските заведения на всички деца от 3 до 6 годишна възраст, са заложени общо 65,7 млн.лв. за проектиране, изграждане, разширение и основни ремонти на детски градини, ясли и училища. Конкретните обекти за нови сгради и разширения на детски градини и ясли са 45 на брой и с тях ще бъдат открити 185 нови групи за близо 4200 деца на територията на 23 столични района. </w:t>
      </w:r>
    </w:p>
    <w:p w14:paraId="33DDA40A" w14:textId="77777777" w:rsidR="004829C6" w:rsidRPr="00E81A6E" w:rsidRDefault="004829C6" w:rsidP="00F55B06">
      <w:pPr>
        <w:spacing w:after="0" w:line="240" w:lineRule="auto"/>
        <w:ind w:firstLine="720"/>
        <w:contextualSpacing/>
        <w:jc w:val="both"/>
        <w:rPr>
          <w:rFonts w:ascii="Times New Roman" w:hAnsi="Times New Roman" w:cs="Times New Roman"/>
          <w:sz w:val="24"/>
          <w:szCs w:val="24"/>
          <w:lang w:val="bg-BG"/>
        </w:rPr>
      </w:pPr>
    </w:p>
    <w:p w14:paraId="58EAEF0B" w14:textId="77777777" w:rsidR="00F93D99" w:rsidRPr="00E81A6E" w:rsidRDefault="00F93D99" w:rsidP="00F55B06">
      <w:pPr>
        <w:pStyle w:val="Heading3"/>
        <w:spacing w:before="0"/>
        <w:ind w:firstLine="720"/>
        <w:contextualSpacing/>
        <w:rPr>
          <w:rFonts w:ascii="Times New Roman" w:hAnsi="Times New Roman" w:cs="Times New Roman"/>
          <w:color w:val="auto"/>
          <w:sz w:val="24"/>
          <w:szCs w:val="24"/>
          <w:lang w:val="bg-BG"/>
        </w:rPr>
      </w:pPr>
      <w:bookmarkStart w:id="135" w:name="_Toc535398361"/>
      <w:bookmarkStart w:id="136" w:name="_Toc30592775"/>
      <w:r w:rsidRPr="00E81A6E">
        <w:rPr>
          <w:rFonts w:ascii="Times New Roman" w:hAnsi="Times New Roman" w:cs="Times New Roman"/>
          <w:color w:val="auto"/>
          <w:sz w:val="24"/>
          <w:szCs w:val="24"/>
          <w:lang w:val="bg-BG"/>
        </w:rPr>
        <w:t>Функция „Социални дейности“</w:t>
      </w:r>
      <w:bookmarkEnd w:id="135"/>
      <w:bookmarkEnd w:id="136"/>
    </w:p>
    <w:p w14:paraId="47E169EA"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Разчетени са 4,090,034 лв. основната част от които са преходен остатък държавна отговорност и са насочени за финансиране на основен ремонт в социални заведения. Отделно 9,374,9104 млн. лв. са средствата по оперативни програми „Региони в растеж“ и „Развитие на човешките ресурси“ предвидени за разкриването на 9 нови социални услуги в 2 центъра в районите „Витоша“ и „Нови Искър“ и основни ремонти на 8 съществуващи центъра в т.ч. център за временно настаняване „Св.София“ в район „Илинден“.</w:t>
      </w:r>
    </w:p>
    <w:p w14:paraId="2DA90595" w14:textId="77777777" w:rsidR="004829C6" w:rsidRPr="00E81A6E" w:rsidRDefault="004829C6" w:rsidP="00F55B06">
      <w:pPr>
        <w:spacing w:after="0" w:line="240" w:lineRule="auto"/>
        <w:ind w:firstLine="720"/>
        <w:contextualSpacing/>
        <w:jc w:val="both"/>
        <w:rPr>
          <w:rFonts w:ascii="Times New Roman" w:hAnsi="Times New Roman" w:cs="Times New Roman"/>
          <w:sz w:val="24"/>
          <w:szCs w:val="24"/>
          <w:lang w:val="bg-BG"/>
        </w:rPr>
      </w:pPr>
    </w:p>
    <w:p w14:paraId="4847FB39" w14:textId="77777777" w:rsidR="00F93D99" w:rsidRPr="00E81A6E" w:rsidRDefault="00F93D99" w:rsidP="00F55B06">
      <w:pPr>
        <w:pStyle w:val="Heading3"/>
        <w:spacing w:before="0"/>
        <w:ind w:firstLine="720"/>
        <w:contextualSpacing/>
        <w:rPr>
          <w:rFonts w:ascii="Times New Roman" w:hAnsi="Times New Roman" w:cs="Times New Roman"/>
          <w:color w:val="auto"/>
          <w:sz w:val="24"/>
          <w:szCs w:val="24"/>
          <w:lang w:val="bg-BG"/>
        </w:rPr>
      </w:pPr>
      <w:bookmarkStart w:id="137" w:name="_Toc535398362"/>
      <w:bookmarkStart w:id="138" w:name="_Toc30592776"/>
      <w:r w:rsidRPr="00E81A6E">
        <w:rPr>
          <w:rFonts w:ascii="Times New Roman" w:hAnsi="Times New Roman" w:cs="Times New Roman"/>
          <w:color w:val="auto"/>
          <w:sz w:val="24"/>
          <w:szCs w:val="24"/>
          <w:lang w:val="bg-BG"/>
        </w:rPr>
        <w:t>Функция „Жилищно строителство, БКС и опазване на околната среда”</w:t>
      </w:r>
      <w:bookmarkEnd w:id="137"/>
      <w:bookmarkEnd w:id="138"/>
    </w:p>
    <w:p w14:paraId="0C7D883C"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w:t>
      </w:r>
      <w:r w:rsidRPr="00E81A6E">
        <w:rPr>
          <w:rFonts w:ascii="Times New Roman" w:hAnsi="Times New Roman" w:cs="Times New Roman"/>
          <w:b/>
          <w:sz w:val="24"/>
          <w:szCs w:val="24"/>
          <w:lang w:val="bg-BG"/>
        </w:rPr>
        <w:t xml:space="preserve"> дейност 603</w:t>
      </w:r>
      <w:r w:rsidRPr="00E81A6E">
        <w:rPr>
          <w:rFonts w:ascii="Times New Roman" w:hAnsi="Times New Roman" w:cs="Times New Roman"/>
          <w:sz w:val="24"/>
          <w:szCs w:val="24"/>
          <w:lang w:val="bg-BG"/>
        </w:rPr>
        <w:t xml:space="preserve"> „Водоснабдяване и канализация” по проекта за капиталова програма са предвидени общо 11,440,668 лв. От тях 10,2 млн. лв. са осигурени от държавата за изграждане на реверсивната връзка между довеждаща система „Бели Искър“, посредством  Малобучинския водопровод и довеждаща система „Искър“, посредством ПС „Бъкстон“. Тази реверсивна връзка е от изключително значение за столицата, тъй като е част от стратегическата критична инфраструктура на София и ще даде възможност за осигуряване на вода от различни източници. Осигурени са и средства за  изготвяне на прединвестиционно проучване за използването на язовир „Огняново“ за питейно-битови нужди. За приключване на етапи от </w:t>
      </w:r>
      <w:r w:rsidRPr="00E81A6E">
        <w:rPr>
          <w:rFonts w:ascii="Times New Roman" w:hAnsi="Times New Roman" w:cs="Times New Roman"/>
          <w:sz w:val="24"/>
          <w:szCs w:val="24"/>
          <w:lang w:val="bg-BG"/>
        </w:rPr>
        <w:lastRenderedPageBreak/>
        <w:t xml:space="preserve">изграждане на ВиК мрежа на територията на райони „Връбница“ и „Овча купел“  са определени около 0,5 млн. лв., а за инвестиционно проектиране са предвидени 300,000 лв., с които ще се осигури проектната готовност за изграждане на ВиК инфраструктура на територията на столицата. </w:t>
      </w:r>
    </w:p>
    <w:p w14:paraId="46E0270F"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През 2021г. се предвижда стартиране на Етап </w:t>
      </w:r>
      <w:r w:rsidRPr="00E81A6E">
        <w:rPr>
          <w:rFonts w:ascii="Times New Roman" w:hAnsi="Times New Roman" w:cs="Times New Roman"/>
          <w:sz w:val="24"/>
          <w:szCs w:val="24"/>
        </w:rPr>
        <w:t>I</w:t>
      </w:r>
      <w:r w:rsidRPr="00E81A6E">
        <w:rPr>
          <w:rFonts w:ascii="Times New Roman" w:hAnsi="Times New Roman" w:cs="Times New Roman"/>
          <w:sz w:val="24"/>
          <w:szCs w:val="24"/>
          <w:lang w:val="bg-BG"/>
        </w:rPr>
        <w:t xml:space="preserve"> от програмата за изграждане на канализация в квартали на София, в които такава липсва /райони Банкя, Витоша, Овча купел, Връбница, Лозенец, Нови Искър, Сердика и реконструкция на СГПСОВ Кубратово/. Финансирането ще бъде с европейски средства по програма „Околна среда“ – 18,7 млн.лв., а индикативната стойност на целия етап е за над 140 млн. лв. </w:t>
      </w:r>
    </w:p>
    <w:p w14:paraId="20474C4F"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w:t>
      </w:r>
      <w:r w:rsidRPr="00E81A6E">
        <w:rPr>
          <w:rFonts w:ascii="Times New Roman" w:hAnsi="Times New Roman" w:cs="Times New Roman"/>
          <w:b/>
          <w:sz w:val="24"/>
          <w:szCs w:val="24"/>
          <w:lang w:val="bg-BG"/>
        </w:rPr>
        <w:t xml:space="preserve"> Дейност 604 </w:t>
      </w:r>
      <w:r w:rsidRPr="00E81A6E">
        <w:rPr>
          <w:rFonts w:ascii="Times New Roman" w:hAnsi="Times New Roman" w:cs="Times New Roman"/>
          <w:sz w:val="24"/>
          <w:szCs w:val="24"/>
          <w:lang w:val="bg-BG"/>
        </w:rPr>
        <w:t xml:space="preserve">„Осветление на улици и площади“ са предвидени 6,277,494 лв., което е значително увеличение спрямо 2020г. От тях за финансиране на основен ремонт на улично осветление са 2,577,494 лв., за изграждане на светофарни уредби – 2,500,000 лв. и 1,200,000 лв. за видеонаблюдение в </w:t>
      </w:r>
      <w:r w:rsidRPr="00E81A6E">
        <w:rPr>
          <w:rFonts w:ascii="Times New Roman" w:hAnsi="Times New Roman" w:cs="Times New Roman"/>
          <w:sz w:val="24"/>
          <w:szCs w:val="24"/>
        </w:rPr>
        <w:t>BUS</w:t>
      </w:r>
      <w:r w:rsidRPr="00E81A6E">
        <w:rPr>
          <w:rFonts w:ascii="Times New Roman" w:hAnsi="Times New Roman" w:cs="Times New Roman"/>
          <w:sz w:val="24"/>
          <w:szCs w:val="24"/>
          <w:lang w:val="bg-BG"/>
        </w:rPr>
        <w:t xml:space="preserve"> ленти и светофари. </w:t>
      </w:r>
    </w:p>
    <w:p w14:paraId="6A472EB7"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w:t>
      </w:r>
      <w:r w:rsidRPr="00E81A6E">
        <w:rPr>
          <w:rFonts w:ascii="Times New Roman" w:hAnsi="Times New Roman" w:cs="Times New Roman"/>
          <w:b/>
          <w:sz w:val="24"/>
          <w:szCs w:val="24"/>
          <w:lang w:val="bg-BG"/>
        </w:rPr>
        <w:t xml:space="preserve"> Дейност 606</w:t>
      </w:r>
      <w:r w:rsidRPr="00E81A6E">
        <w:rPr>
          <w:rFonts w:ascii="Times New Roman" w:hAnsi="Times New Roman" w:cs="Times New Roman"/>
          <w:sz w:val="24"/>
          <w:szCs w:val="24"/>
          <w:lang w:val="bg-BG"/>
        </w:rPr>
        <w:t xml:space="preserve"> „Поддържане, ремонт и изграждане на пътища”  са  разчетени  4</w:t>
      </w:r>
      <w:r w:rsidR="007935FC" w:rsidRPr="00E81A6E">
        <w:rPr>
          <w:rFonts w:ascii="Times New Roman" w:hAnsi="Times New Roman" w:cs="Times New Roman"/>
          <w:sz w:val="24"/>
          <w:szCs w:val="24"/>
          <w:lang w:val="bg-BG"/>
        </w:rPr>
        <w:t>8</w:t>
      </w:r>
      <w:r w:rsidRPr="00E81A6E">
        <w:rPr>
          <w:rFonts w:ascii="Times New Roman" w:hAnsi="Times New Roman" w:cs="Times New Roman"/>
          <w:sz w:val="24"/>
          <w:szCs w:val="24"/>
          <w:lang w:val="bg-BG"/>
        </w:rPr>
        <w:t>,</w:t>
      </w:r>
      <w:r w:rsidR="007935FC" w:rsidRPr="00E81A6E">
        <w:rPr>
          <w:rFonts w:ascii="Times New Roman" w:hAnsi="Times New Roman" w:cs="Times New Roman"/>
          <w:sz w:val="24"/>
          <w:szCs w:val="24"/>
          <w:lang w:val="bg-BG"/>
        </w:rPr>
        <w:t>1</w:t>
      </w:r>
      <w:r w:rsidRPr="00E81A6E">
        <w:rPr>
          <w:rFonts w:ascii="Times New Roman" w:hAnsi="Times New Roman" w:cs="Times New Roman"/>
          <w:sz w:val="24"/>
          <w:szCs w:val="24"/>
          <w:lang w:val="bg-BG"/>
        </w:rPr>
        <w:t>94,212 лв. в т.ч. 24,329,723 лв. заеми от ЕИБ за изграждане, реконструкции и основен ремонт на пътна инфраструктура. С изграждането и разширенията на бул.„Тодор Каблешков", ул."Филип Кутев", „Източна тангента“, бул."Ломско шосе" и ул."Опълченска", които са част от вътрешния градски ринг,  София ще има практически нова транспортна схема и трафика през центъра на града ще се разтовари значително през следващите няколко години. С оглед подобряване на  условията за движение и градската свързаност, в списъка за основни ремонти са включени: бул.“Първа Българска армия“, ул.“Кукуш“, ремонт на тунела към Люлин вкл. релсов път, тунела при НДК и бул.“Скобелев“, ул.“Николай Коперник“</w:t>
      </w:r>
      <w:r w:rsidR="007935FC" w:rsidRPr="00E81A6E">
        <w:rPr>
          <w:rFonts w:ascii="Times New Roman" w:hAnsi="Times New Roman" w:cs="Times New Roman"/>
          <w:sz w:val="24"/>
          <w:szCs w:val="24"/>
          <w:lang w:val="bg-BG"/>
        </w:rPr>
        <w:t>, ул. „Народно хоро“</w:t>
      </w:r>
      <w:r w:rsidRPr="00E81A6E">
        <w:rPr>
          <w:rFonts w:ascii="Times New Roman" w:hAnsi="Times New Roman" w:cs="Times New Roman"/>
          <w:sz w:val="24"/>
          <w:szCs w:val="24"/>
          <w:lang w:val="bg-BG"/>
        </w:rPr>
        <w:t xml:space="preserve">. Продължава финансирането за възстановяване инфраструктурата по трасето на канализацията изграждана от „Софийска вода“ в кв.„Модерно предградие“ , а предвидените за целта средства възлизат на 800,000 лв. </w:t>
      </w:r>
    </w:p>
    <w:p w14:paraId="47D80F47"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Обектите са подробно описани в Приложение №3.</w:t>
      </w:r>
    </w:p>
    <w:p w14:paraId="46CEE6BE"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p>
    <w:p w14:paraId="0A76D999"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За</w:t>
      </w:r>
      <w:r w:rsidRPr="00E81A6E">
        <w:rPr>
          <w:rFonts w:ascii="Times New Roman" w:hAnsi="Times New Roman" w:cs="Times New Roman"/>
          <w:b/>
          <w:sz w:val="24"/>
          <w:szCs w:val="24"/>
          <w:lang w:val="bg-BG"/>
        </w:rPr>
        <w:t xml:space="preserve"> Дейност</w:t>
      </w:r>
      <w:r w:rsidRPr="00E81A6E">
        <w:rPr>
          <w:rFonts w:ascii="Times New Roman" w:hAnsi="Times New Roman" w:cs="Times New Roman"/>
          <w:sz w:val="24"/>
          <w:szCs w:val="24"/>
          <w:lang w:val="bg-BG"/>
        </w:rPr>
        <w:t xml:space="preserve"> </w:t>
      </w:r>
      <w:r w:rsidRPr="00E81A6E">
        <w:rPr>
          <w:rFonts w:ascii="Times New Roman" w:hAnsi="Times New Roman" w:cs="Times New Roman"/>
          <w:b/>
          <w:sz w:val="24"/>
          <w:szCs w:val="24"/>
          <w:lang w:val="bg-BG"/>
        </w:rPr>
        <w:t xml:space="preserve">619 </w:t>
      </w:r>
      <w:r w:rsidRPr="00E81A6E">
        <w:rPr>
          <w:rFonts w:ascii="Times New Roman" w:hAnsi="Times New Roman" w:cs="Times New Roman"/>
          <w:sz w:val="24"/>
          <w:szCs w:val="24"/>
          <w:lang w:val="bg-BG"/>
        </w:rPr>
        <w:t>„ Други дейности по жил.строителство,благоустройство и регионално развитие“ са предвидени 3,718,801 лв. от които 3,000,000 лв. са за „Изграждане на жил.сграда кв.243, Зона Б-5-3, р-н Възраждане“, а 225,321 лв. с източник  СОПФ се предоставят за завършване изграждането на общински модулни сгради в кв.Факултета, район „Красна поляна“.</w:t>
      </w:r>
    </w:p>
    <w:p w14:paraId="0C867C81"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w:t>
      </w:r>
      <w:r w:rsidRPr="00E81A6E">
        <w:rPr>
          <w:rFonts w:ascii="Times New Roman" w:hAnsi="Times New Roman" w:cs="Times New Roman"/>
          <w:b/>
          <w:sz w:val="24"/>
          <w:szCs w:val="24"/>
          <w:lang w:val="bg-BG"/>
        </w:rPr>
        <w:t xml:space="preserve"> Дейност</w:t>
      </w:r>
      <w:r w:rsidRPr="00E81A6E">
        <w:rPr>
          <w:rFonts w:ascii="Times New Roman" w:hAnsi="Times New Roman" w:cs="Times New Roman"/>
          <w:sz w:val="24"/>
          <w:szCs w:val="24"/>
          <w:lang w:val="bg-BG"/>
        </w:rPr>
        <w:t xml:space="preserve"> </w:t>
      </w:r>
      <w:r w:rsidRPr="00E81A6E">
        <w:rPr>
          <w:rFonts w:ascii="Times New Roman" w:hAnsi="Times New Roman" w:cs="Times New Roman"/>
          <w:b/>
          <w:sz w:val="24"/>
          <w:szCs w:val="24"/>
          <w:lang w:val="bg-BG"/>
        </w:rPr>
        <w:t>621</w:t>
      </w:r>
      <w:r w:rsidRPr="00E81A6E">
        <w:rPr>
          <w:rFonts w:ascii="Times New Roman" w:hAnsi="Times New Roman" w:cs="Times New Roman"/>
          <w:sz w:val="24"/>
          <w:szCs w:val="24"/>
          <w:lang w:val="bg-BG"/>
        </w:rPr>
        <w:t xml:space="preserve"> „Опазване на околна среда”, и </w:t>
      </w:r>
      <w:r w:rsidRPr="00E81A6E">
        <w:rPr>
          <w:rFonts w:ascii="Times New Roman" w:hAnsi="Times New Roman" w:cs="Times New Roman"/>
          <w:b/>
          <w:sz w:val="24"/>
          <w:szCs w:val="24"/>
          <w:lang w:val="bg-BG"/>
        </w:rPr>
        <w:t>627</w:t>
      </w:r>
      <w:r w:rsidRPr="00E81A6E">
        <w:rPr>
          <w:rFonts w:ascii="Times New Roman" w:hAnsi="Times New Roman" w:cs="Times New Roman"/>
          <w:sz w:val="24"/>
          <w:szCs w:val="24"/>
          <w:lang w:val="bg-BG"/>
        </w:rPr>
        <w:t xml:space="preserve"> „Управление на дейностите по отпадъците” са разчетени общо 13,570,042 лв. Продължава рекултивацията на депа „Суходол“, „Долни Богров“ и „Садината“; оптимизация на ПСОВ Садината и подготовка на площадка за изграждане на завод за преработка на едрогабаритни отпадъци ЕГО /целта е да се преработват строителните отпадъци и да се получават материали, които повторно да се използват в строителството /. Финансирането на Програмата за подобряване на инженерната и социална инфраструктура в райони на чиято територия са разположени инсталациите за обработка на битовите отпадъци на гр.София - Кремиковци и Сердика през 2021г. е в размер на 600,000лв. За изработване и съвместяване на информационни системи в областта на дейностите по отпадъци и опазване на околната среда са предвидени общо 940,602 лв. </w:t>
      </w:r>
    </w:p>
    <w:p w14:paraId="1E632400"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Отделно от това са предвидени 12,730,334лв. по оперативни програми „Околна среда 2014-2020“ и </w:t>
      </w:r>
      <w:r w:rsidRPr="00E81A6E">
        <w:rPr>
          <w:rFonts w:ascii="Times New Roman" w:hAnsi="Times New Roman" w:cs="Times New Roman"/>
          <w:sz w:val="24"/>
          <w:szCs w:val="24"/>
        </w:rPr>
        <w:t>Life</w:t>
      </w:r>
      <w:r w:rsidRPr="00E81A6E">
        <w:rPr>
          <w:rFonts w:ascii="Times New Roman" w:hAnsi="Times New Roman" w:cs="Times New Roman"/>
          <w:sz w:val="24"/>
          <w:szCs w:val="24"/>
          <w:lang w:val="bg-BG"/>
        </w:rPr>
        <w:t xml:space="preserve">  за стартиране изпълнението на големия проект за подмяна на отоплителни устройства на твърдо гориво с нови  25644 бр. екологични уреди за отопление /климатици, отоплителни устройства за битово отопление на пелети и природен газ/. Проектът е част от </w:t>
      </w:r>
      <w:r w:rsidRPr="00E81A6E">
        <w:rPr>
          <w:rFonts w:ascii="Times New Roman" w:hAnsi="Times New Roman" w:cs="Times New Roman"/>
          <w:sz w:val="24"/>
          <w:szCs w:val="24"/>
          <w:lang w:val="bg-BG"/>
        </w:rPr>
        <w:lastRenderedPageBreak/>
        <w:t>процедурата за подобряване качеството на атмосферния въздух в София и общата му стойност надхвърля 41 млн. лв. С осигурения финансов ресурс ще могат да бъдат обхванати над 9300 домакинства. Вече е обявена процедура за закупуване на уреди за отопление.</w:t>
      </w:r>
    </w:p>
    <w:p w14:paraId="5C68E43F"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Наскоро беше обявена и процедурата за избор на изпълнител на третата фаза от интегрираната система за преработка на битовите отпадъци на София. За проекта за инсталацията за производство на енергия от РДФ, който беше подкрепен от Европейската комисия, са планирани 61 млн. лв. за тази година по ОПОС.</w:t>
      </w:r>
    </w:p>
    <w:p w14:paraId="3F093355"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w:t>
      </w:r>
      <w:r w:rsidRPr="00E81A6E">
        <w:rPr>
          <w:rFonts w:ascii="Times New Roman" w:hAnsi="Times New Roman" w:cs="Times New Roman"/>
          <w:b/>
          <w:sz w:val="24"/>
          <w:szCs w:val="24"/>
          <w:lang w:val="bg-BG"/>
        </w:rPr>
        <w:t xml:space="preserve"> Дейност 622 </w:t>
      </w:r>
      <w:r w:rsidRPr="00E81A6E">
        <w:rPr>
          <w:rFonts w:ascii="Times New Roman" w:hAnsi="Times New Roman" w:cs="Times New Roman"/>
          <w:sz w:val="24"/>
          <w:szCs w:val="24"/>
          <w:lang w:val="bg-BG"/>
        </w:rPr>
        <w:t xml:space="preserve">„Озеленяване” са разчетени  средства за довършване на Северен парк, Западен парк и изграждане връзката му с район „Люлин“. Предвижда се и финансиране по ОП „Региони в растеж 2014-2020г.“  за обновяване и ремонт на парк „Борисова градина“. </w:t>
      </w:r>
    </w:p>
    <w:p w14:paraId="5F0313AD" w14:textId="77777777" w:rsidR="00F93D99" w:rsidRPr="00E81A6E" w:rsidRDefault="00F93D99" w:rsidP="00F55B06">
      <w:pPr>
        <w:tabs>
          <w:tab w:val="left" w:pos="2268"/>
          <w:tab w:val="left" w:pos="3119"/>
        </w:tabs>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b/>
          <w:sz w:val="24"/>
          <w:szCs w:val="24"/>
          <w:lang w:val="bg-BG"/>
        </w:rPr>
        <w:t>Дейност</w:t>
      </w:r>
      <w:r w:rsidRPr="00E81A6E">
        <w:rPr>
          <w:rFonts w:ascii="Times New Roman" w:hAnsi="Times New Roman" w:cs="Times New Roman"/>
          <w:sz w:val="24"/>
          <w:szCs w:val="24"/>
          <w:lang w:val="bg-BG"/>
        </w:rPr>
        <w:t xml:space="preserve"> </w:t>
      </w:r>
      <w:r w:rsidRPr="00E81A6E">
        <w:rPr>
          <w:rFonts w:ascii="Times New Roman" w:hAnsi="Times New Roman" w:cs="Times New Roman"/>
          <w:b/>
          <w:sz w:val="24"/>
          <w:szCs w:val="24"/>
          <w:lang w:val="bg-BG"/>
        </w:rPr>
        <w:t xml:space="preserve">629 </w:t>
      </w:r>
      <w:r w:rsidRPr="00E81A6E">
        <w:rPr>
          <w:rFonts w:ascii="Times New Roman" w:hAnsi="Times New Roman" w:cs="Times New Roman"/>
          <w:sz w:val="24"/>
          <w:szCs w:val="24"/>
          <w:lang w:val="bg-BG"/>
        </w:rPr>
        <w:t>„Други дейности по опазване на околната среда“ - за придобиване на имоти чрез отчуждаване или покупка, свързани с реализацията на инвестиционните проекти на Столична община са разчетени 8,023,513 лева, както и 1,500,000 лв. за градоустройствени проучвания и изготвяне на инвестиционни проекти.</w:t>
      </w:r>
    </w:p>
    <w:p w14:paraId="1416BED9" w14:textId="77777777" w:rsidR="00850C54" w:rsidRPr="00E81A6E" w:rsidRDefault="00850C54" w:rsidP="00F55B06">
      <w:pPr>
        <w:tabs>
          <w:tab w:val="left" w:pos="2268"/>
          <w:tab w:val="left" w:pos="3119"/>
        </w:tabs>
        <w:spacing w:after="0" w:line="240" w:lineRule="auto"/>
        <w:ind w:firstLine="720"/>
        <w:contextualSpacing/>
        <w:jc w:val="both"/>
        <w:rPr>
          <w:rFonts w:ascii="Times New Roman" w:hAnsi="Times New Roman" w:cs="Times New Roman"/>
          <w:sz w:val="24"/>
          <w:szCs w:val="24"/>
          <w:lang w:val="bg-BG"/>
        </w:rPr>
      </w:pPr>
    </w:p>
    <w:p w14:paraId="47A44CFE" w14:textId="77777777" w:rsidR="00F93D99" w:rsidRPr="00E81A6E" w:rsidRDefault="00F93D99" w:rsidP="00F55B06">
      <w:pPr>
        <w:pStyle w:val="Heading3"/>
        <w:spacing w:before="0"/>
        <w:ind w:firstLine="720"/>
        <w:contextualSpacing/>
        <w:jc w:val="both"/>
        <w:rPr>
          <w:rFonts w:ascii="Times New Roman" w:hAnsi="Times New Roman" w:cs="Times New Roman"/>
          <w:color w:val="auto"/>
          <w:sz w:val="24"/>
          <w:szCs w:val="24"/>
          <w:lang w:val="bg-BG"/>
        </w:rPr>
      </w:pPr>
      <w:bookmarkStart w:id="139" w:name="_Toc535398363"/>
      <w:bookmarkStart w:id="140" w:name="_Toc30592777"/>
      <w:r w:rsidRPr="00E81A6E">
        <w:rPr>
          <w:rFonts w:ascii="Times New Roman" w:hAnsi="Times New Roman" w:cs="Times New Roman"/>
          <w:color w:val="auto"/>
          <w:sz w:val="24"/>
          <w:szCs w:val="24"/>
          <w:lang w:val="bg-BG"/>
        </w:rPr>
        <w:t>Функция”Почивно дело, култура и религиозни дейности”</w:t>
      </w:r>
      <w:bookmarkEnd w:id="139"/>
      <w:bookmarkEnd w:id="140"/>
    </w:p>
    <w:p w14:paraId="052A9507" w14:textId="1775EDB5"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Във функцията са разчетени 4,116,223 лв. от които 241,788 лв. за приключване на първи етап от разширението на Централен гробищен парк. За завършване на преустройството в парковата част в Зоологическата градина-сектор „Примати“ са разчетени </w:t>
      </w:r>
      <w:r w:rsidR="00334CB8">
        <w:rPr>
          <w:rFonts w:ascii="Times New Roman" w:hAnsi="Times New Roman" w:cs="Times New Roman"/>
          <w:sz w:val="24"/>
          <w:szCs w:val="24"/>
          <w:lang w:val="bg-BG"/>
        </w:rPr>
        <w:t>215</w:t>
      </w:r>
      <w:r w:rsidRPr="00E81A6E">
        <w:rPr>
          <w:rFonts w:ascii="Times New Roman" w:hAnsi="Times New Roman" w:cs="Times New Roman"/>
          <w:sz w:val="24"/>
          <w:szCs w:val="24"/>
          <w:lang w:val="bg-BG"/>
        </w:rPr>
        <w:t>,</w:t>
      </w:r>
      <w:r w:rsidR="00334CB8">
        <w:rPr>
          <w:rFonts w:ascii="Times New Roman" w:hAnsi="Times New Roman" w:cs="Times New Roman"/>
          <w:sz w:val="24"/>
          <w:szCs w:val="24"/>
          <w:lang w:val="bg-BG"/>
        </w:rPr>
        <w:t xml:space="preserve">705 </w:t>
      </w:r>
      <w:r w:rsidRPr="00E81A6E">
        <w:rPr>
          <w:rFonts w:ascii="Times New Roman" w:hAnsi="Times New Roman" w:cs="Times New Roman"/>
          <w:sz w:val="24"/>
          <w:szCs w:val="24"/>
          <w:lang w:val="bg-BG"/>
        </w:rPr>
        <w:t xml:space="preserve">лева. Продължава реконструкцията на промишлената сграда на бившата Топлоцентрала и превръщането ѝ в център за изкуство–предвидени са 2,475,943 лв. с източник на финансиране СОПФ, а за нейното оборудване, Столична община ще кандидатства по Норвежкия финансов механизъм. </w:t>
      </w:r>
    </w:p>
    <w:p w14:paraId="4DA3DE78" w14:textId="77777777" w:rsidR="00F93D99" w:rsidRPr="00E81A6E" w:rsidRDefault="00F93D99" w:rsidP="00F55B06">
      <w:pPr>
        <w:tabs>
          <w:tab w:val="left" w:pos="2268"/>
          <w:tab w:val="left" w:pos="3119"/>
        </w:tabs>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През 2021г. предстои стартиране на проекта по възстановяване в автентичния ѝ вид и модернизация на сградата на банята в „Овча купел”. Предвижда се в банята да се изгради съвременен обществен център, като традиционните функции с минерална вода ще се съчетават с допълнителни иновативни процедури, продукти и услуги; ще се помещават специализирани лаборатории за изследване лечебните свойства на минералната вода. Финансирането е осигурено от оперативна програма „Наука и образование за интелигентен растеж”, а съфинансирането от Столична община е за 650,000 лв. </w:t>
      </w:r>
    </w:p>
    <w:p w14:paraId="229A92E3" w14:textId="77777777" w:rsidR="00850C54" w:rsidRPr="00E81A6E" w:rsidRDefault="00850C54" w:rsidP="00F55B06">
      <w:pPr>
        <w:tabs>
          <w:tab w:val="left" w:pos="2268"/>
          <w:tab w:val="left" w:pos="3119"/>
        </w:tabs>
        <w:spacing w:after="0" w:line="240" w:lineRule="auto"/>
        <w:ind w:firstLine="720"/>
        <w:contextualSpacing/>
        <w:jc w:val="both"/>
        <w:rPr>
          <w:rFonts w:ascii="Times New Roman" w:hAnsi="Times New Roman" w:cs="Times New Roman"/>
          <w:sz w:val="24"/>
          <w:szCs w:val="24"/>
          <w:lang w:val="bg-BG"/>
        </w:rPr>
      </w:pPr>
    </w:p>
    <w:p w14:paraId="1F01DA85" w14:textId="77777777" w:rsidR="00F93D99" w:rsidRPr="00E81A6E" w:rsidRDefault="00F93D99" w:rsidP="00F55B06">
      <w:pPr>
        <w:pStyle w:val="Heading3"/>
        <w:spacing w:before="0"/>
        <w:ind w:firstLine="720"/>
        <w:contextualSpacing/>
        <w:jc w:val="both"/>
        <w:rPr>
          <w:rFonts w:ascii="Times New Roman" w:hAnsi="Times New Roman" w:cs="Times New Roman"/>
          <w:color w:val="auto"/>
          <w:sz w:val="24"/>
          <w:szCs w:val="24"/>
          <w:lang w:val="bg-BG"/>
        </w:rPr>
      </w:pPr>
      <w:bookmarkStart w:id="141" w:name="_Toc535398364"/>
      <w:bookmarkStart w:id="142" w:name="_Toc30592778"/>
      <w:r w:rsidRPr="00E81A6E">
        <w:rPr>
          <w:rFonts w:ascii="Times New Roman" w:hAnsi="Times New Roman" w:cs="Times New Roman"/>
          <w:color w:val="auto"/>
          <w:sz w:val="24"/>
          <w:szCs w:val="24"/>
          <w:lang w:val="bg-BG"/>
        </w:rPr>
        <w:t>Функция ”Икономически дейности и услуги”</w:t>
      </w:r>
      <w:bookmarkEnd w:id="141"/>
      <w:bookmarkEnd w:id="142"/>
    </w:p>
    <w:p w14:paraId="2528E1CE"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В</w:t>
      </w:r>
      <w:r w:rsidRPr="00E81A6E">
        <w:rPr>
          <w:rFonts w:ascii="Times New Roman" w:hAnsi="Times New Roman" w:cs="Times New Roman"/>
          <w:b/>
          <w:sz w:val="24"/>
          <w:szCs w:val="24"/>
          <w:lang w:val="bg-BG"/>
        </w:rPr>
        <w:t xml:space="preserve"> Дейност 849 </w:t>
      </w:r>
      <w:r w:rsidRPr="00E81A6E">
        <w:rPr>
          <w:rFonts w:ascii="Times New Roman" w:hAnsi="Times New Roman" w:cs="Times New Roman"/>
          <w:sz w:val="24"/>
          <w:szCs w:val="24"/>
          <w:lang w:val="bg-BG"/>
        </w:rPr>
        <w:t>„Други дейности по транспорта, пощите и далекосъобщенията“ са разчетени 30,166,159 лв. От тях за съфинансиране, в изпълнение на условията на ОП ”Транспорт и транспортна инфраструктура”, изграждане на трети метродиаметър от бул.“Ботевградско шосе“- бул.“Владимир Вазов“- ЦГЧ - Красно село-жк „Овча купел“-Околовръстен път /включително 20 бр.метровлакове/ са предвидени 1</w:t>
      </w:r>
      <w:r w:rsidRPr="00E81A6E">
        <w:rPr>
          <w:rFonts w:ascii="Times New Roman" w:hAnsi="Times New Roman" w:cs="Times New Roman"/>
          <w:sz w:val="24"/>
          <w:szCs w:val="24"/>
        </w:rPr>
        <w:t>3</w:t>
      </w:r>
      <w:r w:rsidRPr="00E81A6E">
        <w:rPr>
          <w:rFonts w:ascii="Times New Roman" w:hAnsi="Times New Roman" w:cs="Times New Roman"/>
          <w:sz w:val="24"/>
          <w:szCs w:val="24"/>
          <w:lang w:val="bg-BG"/>
        </w:rPr>
        <w:t>,</w:t>
      </w:r>
      <w:r w:rsidRPr="00E81A6E">
        <w:rPr>
          <w:rFonts w:ascii="Times New Roman" w:hAnsi="Times New Roman" w:cs="Times New Roman"/>
          <w:sz w:val="24"/>
          <w:szCs w:val="24"/>
        </w:rPr>
        <w:t>125</w:t>
      </w:r>
      <w:r w:rsidRPr="00E81A6E">
        <w:rPr>
          <w:rFonts w:ascii="Times New Roman" w:hAnsi="Times New Roman" w:cs="Times New Roman"/>
          <w:sz w:val="24"/>
          <w:szCs w:val="24"/>
          <w:lang w:val="bg-BG"/>
        </w:rPr>
        <w:t>,</w:t>
      </w:r>
      <w:r w:rsidRPr="00E81A6E">
        <w:rPr>
          <w:rFonts w:ascii="Times New Roman" w:hAnsi="Times New Roman" w:cs="Times New Roman"/>
          <w:sz w:val="24"/>
          <w:szCs w:val="24"/>
        </w:rPr>
        <w:t>538</w:t>
      </w:r>
      <w:r w:rsidRPr="00E81A6E">
        <w:rPr>
          <w:rFonts w:ascii="Times New Roman" w:hAnsi="Times New Roman" w:cs="Times New Roman"/>
          <w:sz w:val="24"/>
          <w:szCs w:val="24"/>
          <w:lang w:val="bg-BG"/>
        </w:rPr>
        <w:t xml:space="preserve"> лв. заем от ЕИБ</w:t>
      </w:r>
      <w:r w:rsidRPr="00E81A6E">
        <w:rPr>
          <w:rFonts w:ascii="Times New Roman" w:hAnsi="Times New Roman" w:cs="Times New Roman"/>
          <w:sz w:val="24"/>
          <w:szCs w:val="24"/>
        </w:rPr>
        <w:t>, а за монтаж на вертикални преградни врати на станциите от първи и втори метродиаметър</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rPr>
        <w:t>- 1,000,000</w:t>
      </w:r>
      <w:r w:rsidRPr="00E81A6E">
        <w:rPr>
          <w:rFonts w:ascii="Times New Roman" w:hAnsi="Times New Roman" w:cs="Times New Roman"/>
          <w:sz w:val="24"/>
          <w:szCs w:val="24"/>
          <w:lang w:val="bg-BG"/>
        </w:rPr>
        <w:t xml:space="preserve"> </w:t>
      </w:r>
      <w:r w:rsidRPr="00E81A6E">
        <w:rPr>
          <w:rFonts w:ascii="Times New Roman" w:hAnsi="Times New Roman" w:cs="Times New Roman"/>
          <w:sz w:val="24"/>
          <w:szCs w:val="24"/>
        </w:rPr>
        <w:t>лв.</w:t>
      </w:r>
      <w:r w:rsidRPr="00E81A6E">
        <w:rPr>
          <w:rFonts w:ascii="Times New Roman" w:hAnsi="Times New Roman" w:cs="Times New Roman"/>
          <w:sz w:val="24"/>
          <w:szCs w:val="24"/>
          <w:lang w:val="bg-BG"/>
        </w:rPr>
        <w:t xml:space="preserve"> Разчетени са и 7,000,000 лв. за доставка на допълнителни 10 броя метровлакове, които са допълнителна доставка по договора  за доставка на 20 броя метровлакове финансирани от ОП „Транспорт и транспортна инфраструктура“. За поетапен основен ремонт и рехабилитация на метровлаковете в експлоатация от 1998г. са определени 3,000,00 лв. , а за основен ремонт на релсов път и кабелно-контактна мрежа на територията на столичния град - 540,621 лв.</w:t>
      </w:r>
    </w:p>
    <w:p w14:paraId="2C6B6C3C"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Към тази дейност се отнася и най-голямата реконструкция, която ще започне през 2021 г. -  ремонтът на трамвайното трасе на бул. „Цар Борис III“ от Съдебната палата до </w:t>
      </w:r>
      <w:r w:rsidRPr="00E81A6E">
        <w:rPr>
          <w:rFonts w:ascii="Times New Roman" w:hAnsi="Times New Roman" w:cs="Times New Roman"/>
          <w:sz w:val="24"/>
          <w:szCs w:val="24"/>
          <w:lang w:val="bg-BG"/>
        </w:rPr>
        <w:lastRenderedPageBreak/>
        <w:t>кв.„Княжево“. Разчетените за годината средства възлизат на 31,6 млн. лв. и  са осигурени по ОП „Региони в растеж“.</w:t>
      </w:r>
    </w:p>
    <w:p w14:paraId="30240FD1"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Като част от проекта  за изпълнение на дейности за подобряване качеството на атмосферния въздух на територията на Столична община, със средства от ОП “Околна среда 2014-2020“  ще бъдат закупени и доставени 25 нови нископодови, климатизирани трамвайни мотриси, 82 електробуса с 10 зарядни станции за тях и  30 тролейбуса.</w:t>
      </w:r>
    </w:p>
    <w:p w14:paraId="727F8C7B" w14:textId="77777777" w:rsidR="00F93D99" w:rsidRPr="00E81A6E" w:rsidRDefault="00F93D99"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Обектите са подробно описани в приложение №3.</w:t>
      </w:r>
      <w:bookmarkStart w:id="143" w:name="_Toc409874562"/>
      <w:bookmarkStart w:id="144" w:name="_Toc499639791"/>
      <w:bookmarkStart w:id="145" w:name="_Toc500496087"/>
      <w:bookmarkStart w:id="146" w:name="_Toc500496433"/>
      <w:bookmarkStart w:id="147" w:name="_Toc503629647"/>
      <w:bookmarkStart w:id="148" w:name="_Toc61971784"/>
    </w:p>
    <w:p w14:paraId="223D366F" w14:textId="77777777" w:rsidR="00850C54" w:rsidRPr="00E81A6E" w:rsidRDefault="00850C54" w:rsidP="00F55B06">
      <w:pPr>
        <w:spacing w:after="0" w:line="240" w:lineRule="auto"/>
        <w:ind w:firstLine="720"/>
        <w:contextualSpacing/>
        <w:jc w:val="both"/>
        <w:rPr>
          <w:rFonts w:ascii="Times New Roman" w:hAnsi="Times New Roman" w:cs="Times New Roman"/>
          <w:sz w:val="24"/>
          <w:szCs w:val="24"/>
          <w:lang w:val="bg-BG"/>
        </w:rPr>
      </w:pPr>
    </w:p>
    <w:p w14:paraId="215DFB98" w14:textId="77777777" w:rsidR="006F5B92" w:rsidRPr="00E81A6E" w:rsidRDefault="006F5B92" w:rsidP="00F55B06">
      <w:pPr>
        <w:pStyle w:val="Heading1"/>
        <w:keepNext w:val="0"/>
        <w:keepLines w:val="0"/>
        <w:spacing w:before="0" w:after="0"/>
        <w:ind w:firstLine="720"/>
        <w:contextualSpacing/>
        <w:jc w:val="both"/>
        <w:rPr>
          <w:rFonts w:ascii="Times New Roman" w:hAnsi="Times New Roman" w:cs="Times New Roman"/>
          <w:color w:val="auto"/>
          <w:sz w:val="24"/>
          <w:szCs w:val="24"/>
          <w:lang w:val="ru-RU"/>
        </w:rPr>
      </w:pPr>
      <w:r w:rsidRPr="00E81A6E">
        <w:rPr>
          <w:rFonts w:ascii="Times New Roman" w:hAnsi="Times New Roman" w:cs="Times New Roman"/>
          <w:color w:val="auto"/>
          <w:sz w:val="24"/>
          <w:szCs w:val="24"/>
          <w:lang w:val="ru-RU"/>
        </w:rPr>
        <w:t>ЗАКЛЮЧЕНИЕ</w:t>
      </w:r>
      <w:bookmarkEnd w:id="143"/>
      <w:bookmarkEnd w:id="144"/>
      <w:bookmarkEnd w:id="145"/>
      <w:bookmarkEnd w:id="146"/>
      <w:bookmarkEnd w:id="147"/>
      <w:bookmarkEnd w:id="148"/>
    </w:p>
    <w:bookmarkEnd w:id="1"/>
    <w:p w14:paraId="2D89C3B2" w14:textId="77777777" w:rsidR="00850C54" w:rsidRPr="00E81A6E" w:rsidRDefault="00850C54"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lang w:val="bg-BG"/>
        </w:rPr>
      </w:pPr>
    </w:p>
    <w:p w14:paraId="19255676" w14:textId="77777777" w:rsidR="000C128C" w:rsidRPr="00E81A6E" w:rsidRDefault="000C128C" w:rsidP="00F55B06">
      <w:pPr>
        <w:shd w:val="clear" w:color="auto" w:fill="FFFFFF"/>
        <w:autoSpaceDE w:val="0"/>
        <w:autoSpaceDN w:val="0"/>
        <w:adjustRightInd w:val="0"/>
        <w:spacing w:after="0" w:line="240" w:lineRule="auto"/>
        <w:ind w:firstLine="720"/>
        <w:contextualSpacing/>
        <w:jc w:val="both"/>
        <w:rPr>
          <w:rFonts w:ascii="Times New Roman" w:hAnsi="Times New Roman" w:cs="Times New Roman"/>
          <w:sz w:val="24"/>
          <w:szCs w:val="24"/>
        </w:rPr>
      </w:pPr>
      <w:r w:rsidRPr="00E81A6E">
        <w:rPr>
          <w:rFonts w:ascii="Times New Roman" w:hAnsi="Times New Roman" w:cs="Times New Roman"/>
          <w:sz w:val="24"/>
          <w:szCs w:val="24"/>
          <w:lang w:val="bg-BG"/>
        </w:rPr>
        <w:t>Дългосрочните конкурентни предимства, които определят структурата и динамиката на икономиката на София, остават в сила въпреки пандемията. Процесите на трансформация на икономиката, в т.ч. развитие на индустрията в широката периферия на столицата, бумът във високотехнологичния сектор и в бизнес услугите, както и разрастването</w:t>
      </w:r>
      <w:r w:rsidR="00A178DD" w:rsidRPr="00E81A6E">
        <w:rPr>
          <w:rFonts w:ascii="Times New Roman" w:hAnsi="Times New Roman" w:cs="Times New Roman"/>
          <w:sz w:val="24"/>
          <w:szCs w:val="24"/>
          <w:lang w:val="bg-BG"/>
        </w:rPr>
        <w:t xml:space="preserve"> на</w:t>
      </w:r>
      <w:r w:rsidRPr="00E81A6E">
        <w:rPr>
          <w:rFonts w:ascii="Times New Roman" w:hAnsi="Times New Roman" w:cs="Times New Roman"/>
          <w:sz w:val="24"/>
          <w:szCs w:val="24"/>
          <w:lang w:val="bg-BG"/>
        </w:rPr>
        <w:t xml:space="preserve"> научната инфраструктура и иновационната екосистема, задават траекторията на развитие на София. </w:t>
      </w:r>
    </w:p>
    <w:p w14:paraId="4872BBB1" w14:textId="77777777" w:rsidR="000C128C" w:rsidRPr="00E81A6E" w:rsidRDefault="000C128C" w:rsidP="00F55B06">
      <w:pPr>
        <w:spacing w:after="0" w:line="240" w:lineRule="auto"/>
        <w:ind w:firstLine="720"/>
        <w:contextualSpacing/>
        <w:jc w:val="both"/>
        <w:rPr>
          <w:rFonts w:ascii="Times New Roman" w:hAnsi="Times New Roman" w:cs="Times New Roman"/>
          <w:sz w:val="24"/>
          <w:szCs w:val="24"/>
          <w:lang w:val="bg-BG"/>
        </w:rPr>
      </w:pPr>
      <w:r w:rsidRPr="00E81A6E">
        <w:rPr>
          <w:rFonts w:ascii="Times New Roman" w:hAnsi="Times New Roman" w:cs="Times New Roman"/>
          <w:sz w:val="24"/>
          <w:szCs w:val="24"/>
          <w:lang w:val="bg-BG"/>
        </w:rPr>
        <w:t xml:space="preserve">Ако съдим по периода на възстановяване след предишната криза, то София е регионът, който най-бързо ще се върне към растеж. Основното предизвикателство на този етап изглежда бързото разпространение на ваксина, което да премахне нуждите от въвеждането на нови ограничителни режими след зимата. </w:t>
      </w:r>
      <w:r w:rsidR="00A178DD" w:rsidRPr="00E81A6E">
        <w:rPr>
          <w:rFonts w:ascii="Times New Roman" w:hAnsi="Times New Roman" w:cs="Times New Roman"/>
          <w:sz w:val="24"/>
          <w:szCs w:val="24"/>
          <w:lang w:val="bg-BG"/>
        </w:rPr>
        <w:t>От</w:t>
      </w:r>
      <w:r w:rsidRPr="00E81A6E">
        <w:rPr>
          <w:rFonts w:ascii="Times New Roman" w:hAnsi="Times New Roman" w:cs="Times New Roman"/>
          <w:sz w:val="24"/>
          <w:szCs w:val="24"/>
          <w:lang w:val="bg-BG"/>
        </w:rPr>
        <w:t xml:space="preserve"> значение са и възможностите на местната администрация да се възползва от значителните финансови ресурси, достъпни в рамките на инструментите на ЕС за борба с кризата и възстановяване, които биха могли да бъдат от полза в процеса на трансформация на икономиката и да подкрепят растежа в София.</w:t>
      </w:r>
    </w:p>
    <w:p w14:paraId="7497526F" w14:textId="77777777" w:rsidR="000E33AA" w:rsidRPr="00E81A6E" w:rsidRDefault="000E33AA" w:rsidP="00F55B06">
      <w:pPr>
        <w:spacing w:after="0" w:line="240" w:lineRule="auto"/>
        <w:ind w:firstLine="720"/>
        <w:contextualSpacing/>
        <w:rPr>
          <w:rFonts w:ascii="Times New Roman" w:hAnsi="Times New Roman" w:cs="Times New Roman"/>
          <w:sz w:val="24"/>
          <w:szCs w:val="24"/>
          <w:lang w:val="bg-BG" w:eastAsia="x-none"/>
        </w:rPr>
      </w:pPr>
    </w:p>
    <w:p w14:paraId="6C42640F" w14:textId="77777777" w:rsidR="000C128C" w:rsidRDefault="000C128C" w:rsidP="00F55B06">
      <w:pPr>
        <w:spacing w:after="0" w:line="240" w:lineRule="auto"/>
        <w:ind w:firstLine="720"/>
        <w:contextualSpacing/>
        <w:rPr>
          <w:rFonts w:ascii="Times New Roman" w:hAnsi="Times New Roman" w:cs="Times New Roman"/>
          <w:sz w:val="24"/>
          <w:szCs w:val="24"/>
          <w:lang w:val="bg-BG" w:eastAsia="x-none"/>
        </w:rPr>
      </w:pPr>
    </w:p>
    <w:p w14:paraId="3A271990" w14:textId="77777777" w:rsidR="00E352DD" w:rsidRDefault="00E352DD" w:rsidP="00F55B06">
      <w:pPr>
        <w:spacing w:after="0" w:line="240" w:lineRule="auto"/>
        <w:ind w:firstLine="720"/>
        <w:contextualSpacing/>
        <w:rPr>
          <w:rFonts w:ascii="Times New Roman" w:hAnsi="Times New Roman" w:cs="Times New Roman"/>
          <w:sz w:val="24"/>
          <w:szCs w:val="24"/>
          <w:lang w:val="bg-BG" w:eastAsia="x-none"/>
        </w:rPr>
      </w:pPr>
    </w:p>
    <w:p w14:paraId="090C70DF" w14:textId="77777777" w:rsidR="00E352DD" w:rsidRDefault="00E352DD" w:rsidP="00F55B06">
      <w:pPr>
        <w:spacing w:after="0" w:line="240" w:lineRule="auto"/>
        <w:ind w:firstLine="720"/>
        <w:contextualSpacing/>
        <w:rPr>
          <w:rFonts w:ascii="Times New Roman" w:hAnsi="Times New Roman" w:cs="Times New Roman"/>
          <w:sz w:val="24"/>
          <w:szCs w:val="24"/>
          <w:lang w:val="bg-BG" w:eastAsia="x-none"/>
        </w:rPr>
      </w:pPr>
    </w:p>
    <w:p w14:paraId="3D52E065" w14:textId="77777777" w:rsidR="00E352DD" w:rsidRDefault="00E352DD" w:rsidP="00F55B06">
      <w:pPr>
        <w:spacing w:after="0" w:line="240" w:lineRule="auto"/>
        <w:ind w:firstLine="720"/>
        <w:contextualSpacing/>
        <w:rPr>
          <w:rFonts w:ascii="Times New Roman" w:hAnsi="Times New Roman" w:cs="Times New Roman"/>
          <w:sz w:val="24"/>
          <w:szCs w:val="24"/>
          <w:lang w:val="bg-BG" w:eastAsia="x-none"/>
        </w:rPr>
      </w:pPr>
    </w:p>
    <w:p w14:paraId="2F77642D" w14:textId="77777777" w:rsidR="00E352DD" w:rsidRDefault="00E352DD" w:rsidP="00F55B06">
      <w:pPr>
        <w:spacing w:after="0" w:line="240" w:lineRule="auto"/>
        <w:ind w:firstLine="720"/>
        <w:contextualSpacing/>
        <w:rPr>
          <w:rFonts w:ascii="Times New Roman" w:hAnsi="Times New Roman" w:cs="Times New Roman"/>
          <w:sz w:val="24"/>
          <w:szCs w:val="24"/>
          <w:lang w:val="bg-BG" w:eastAsia="x-none"/>
        </w:rPr>
      </w:pPr>
    </w:p>
    <w:p w14:paraId="3E7D81C2" w14:textId="1828599C" w:rsidR="00E352DD" w:rsidRPr="005C6186" w:rsidRDefault="00E352DD" w:rsidP="00E352DD">
      <w:pPr>
        <w:spacing w:line="360" w:lineRule="auto"/>
        <w:rPr>
          <w:rFonts w:eastAsia="Calibri"/>
          <w:caps/>
          <w:lang w:val="bg-BG"/>
        </w:rPr>
      </w:pPr>
      <w:r>
        <w:rPr>
          <w:rFonts w:eastAsia="Calibri"/>
          <w:caps/>
          <w:lang w:val="bg-BG"/>
        </w:rPr>
        <w:t xml:space="preserve">                                                                                                                           </w:t>
      </w:r>
      <w:r w:rsidRPr="005C6186">
        <w:rPr>
          <w:rFonts w:eastAsia="Calibri"/>
          <w:caps/>
          <w:lang w:val="bg-BG"/>
        </w:rPr>
        <w:t>Приложение</w:t>
      </w:r>
    </w:p>
    <w:p w14:paraId="6FE7CCD6" w14:textId="77777777" w:rsidR="00E352DD" w:rsidRPr="005C6186" w:rsidRDefault="00E352DD" w:rsidP="00E352DD">
      <w:pPr>
        <w:spacing w:line="360" w:lineRule="auto"/>
        <w:jc w:val="center"/>
        <w:rPr>
          <w:rFonts w:eastAsia="Calibri"/>
          <w:b/>
          <w:caps/>
          <w:sz w:val="34"/>
          <w:szCs w:val="34"/>
          <w:lang w:val="bg-BG"/>
        </w:rPr>
      </w:pPr>
    </w:p>
    <w:p w14:paraId="2AAA1405" w14:textId="77777777" w:rsidR="00E352DD" w:rsidRPr="005C6186" w:rsidRDefault="00E352DD" w:rsidP="00E352DD">
      <w:pPr>
        <w:spacing w:line="360" w:lineRule="auto"/>
        <w:jc w:val="center"/>
        <w:rPr>
          <w:rFonts w:eastAsia="Calibri"/>
          <w:b/>
          <w:caps/>
          <w:sz w:val="34"/>
          <w:szCs w:val="34"/>
          <w:lang w:val="ru-RU"/>
        </w:rPr>
      </w:pPr>
    </w:p>
    <w:p w14:paraId="59CEDB68" w14:textId="77777777" w:rsidR="00E352DD" w:rsidRPr="009B7BB7" w:rsidRDefault="00E352DD" w:rsidP="00E352DD">
      <w:pPr>
        <w:spacing w:line="360" w:lineRule="auto"/>
        <w:jc w:val="center"/>
        <w:rPr>
          <w:rFonts w:eastAsia="Calibri"/>
          <w:b/>
          <w:caps/>
          <w:sz w:val="34"/>
          <w:szCs w:val="34"/>
          <w:lang w:val="bg-BG"/>
        </w:rPr>
      </w:pPr>
      <w:r w:rsidRPr="009B7BB7">
        <w:rPr>
          <w:rFonts w:eastAsia="Calibri"/>
          <w:b/>
          <w:caps/>
          <w:sz w:val="34"/>
          <w:szCs w:val="34"/>
          <w:lang w:val="bg-BG"/>
        </w:rPr>
        <w:t xml:space="preserve">програмен бюджет  </w:t>
      </w:r>
    </w:p>
    <w:p w14:paraId="6FC40B95" w14:textId="77777777" w:rsidR="00E352DD" w:rsidRPr="009B7BB7" w:rsidRDefault="00E352DD" w:rsidP="00E352DD">
      <w:pPr>
        <w:spacing w:line="360" w:lineRule="auto"/>
        <w:jc w:val="center"/>
        <w:rPr>
          <w:rFonts w:eastAsia="Calibri"/>
          <w:b/>
          <w:caps/>
          <w:sz w:val="34"/>
          <w:szCs w:val="34"/>
          <w:lang w:val="bg-BG"/>
        </w:rPr>
      </w:pPr>
      <w:r w:rsidRPr="009B7BB7">
        <w:rPr>
          <w:rFonts w:eastAsia="Calibri"/>
          <w:b/>
          <w:caps/>
          <w:sz w:val="34"/>
          <w:szCs w:val="34"/>
          <w:lang w:val="bg-BG"/>
        </w:rPr>
        <w:t>За 20</w:t>
      </w:r>
      <w:r>
        <w:rPr>
          <w:rFonts w:eastAsia="Calibri"/>
          <w:b/>
          <w:caps/>
          <w:sz w:val="34"/>
          <w:szCs w:val="34"/>
        </w:rPr>
        <w:t>21</w:t>
      </w:r>
      <w:r w:rsidRPr="009B7BB7">
        <w:rPr>
          <w:rFonts w:eastAsia="Calibri"/>
          <w:b/>
          <w:caps/>
          <w:sz w:val="34"/>
          <w:szCs w:val="34"/>
          <w:lang w:val="bg-BG"/>
        </w:rPr>
        <w:t xml:space="preserve"> година</w:t>
      </w:r>
    </w:p>
    <w:p w14:paraId="4EFD350F" w14:textId="77777777" w:rsidR="00E352DD" w:rsidRPr="009B7BB7" w:rsidRDefault="00E352DD" w:rsidP="00E352DD">
      <w:pPr>
        <w:keepNext/>
        <w:spacing w:line="360" w:lineRule="auto"/>
        <w:jc w:val="center"/>
        <w:outlineLvl w:val="0"/>
        <w:rPr>
          <w:rFonts w:eastAsia="Calibri"/>
          <w:b/>
          <w:bCs/>
          <w:caps/>
          <w:kern w:val="32"/>
          <w:sz w:val="34"/>
          <w:szCs w:val="34"/>
          <w:lang w:val="bg-BG"/>
        </w:rPr>
      </w:pPr>
      <w:bookmarkStart w:id="149" w:name="_Toc428171065"/>
      <w:bookmarkStart w:id="150" w:name="_Toc428171106"/>
      <w:bookmarkStart w:id="151" w:name="_Toc428172550"/>
      <w:bookmarkStart w:id="152" w:name="_Toc428535309"/>
      <w:bookmarkStart w:id="153" w:name="_Toc428803331"/>
      <w:bookmarkStart w:id="154" w:name="_Toc428806902"/>
      <w:bookmarkStart w:id="155" w:name="_Toc428888758"/>
      <w:bookmarkStart w:id="156" w:name="_Toc428888853"/>
      <w:bookmarkStart w:id="157" w:name="_Toc471374930"/>
      <w:bookmarkStart w:id="158" w:name="_Toc471601450"/>
      <w:r w:rsidRPr="009B7BB7">
        <w:rPr>
          <w:rFonts w:eastAsia="Calibri"/>
          <w:b/>
          <w:bCs/>
          <w:caps/>
          <w:kern w:val="32"/>
          <w:sz w:val="34"/>
          <w:szCs w:val="34"/>
          <w:lang w:val="bg-BG"/>
        </w:rPr>
        <w:t>на</w:t>
      </w:r>
      <w:bookmarkEnd w:id="149"/>
      <w:bookmarkEnd w:id="150"/>
      <w:bookmarkEnd w:id="151"/>
      <w:bookmarkEnd w:id="152"/>
      <w:bookmarkEnd w:id="153"/>
      <w:bookmarkEnd w:id="154"/>
      <w:bookmarkEnd w:id="155"/>
      <w:bookmarkEnd w:id="156"/>
      <w:bookmarkEnd w:id="157"/>
      <w:bookmarkEnd w:id="158"/>
    </w:p>
    <w:p w14:paraId="62E969DF" w14:textId="77777777" w:rsidR="00E352DD" w:rsidRPr="009B7BB7" w:rsidRDefault="00E352DD" w:rsidP="00E352DD">
      <w:pPr>
        <w:spacing w:line="360" w:lineRule="auto"/>
        <w:jc w:val="center"/>
        <w:rPr>
          <w:rFonts w:eastAsia="Calibri"/>
          <w:b/>
          <w:caps/>
          <w:sz w:val="34"/>
          <w:szCs w:val="34"/>
          <w:lang w:val="bg-BG"/>
        </w:rPr>
      </w:pPr>
      <w:r w:rsidRPr="009B7BB7">
        <w:rPr>
          <w:rFonts w:eastAsia="Calibri"/>
          <w:b/>
          <w:caps/>
          <w:sz w:val="34"/>
          <w:szCs w:val="34"/>
          <w:lang w:val="bg-BG"/>
        </w:rPr>
        <w:t>дирекция „здравеопазване” при</w:t>
      </w:r>
    </w:p>
    <w:p w14:paraId="2F8F7FA8" w14:textId="77777777" w:rsidR="00E352DD" w:rsidRPr="009B7BB7" w:rsidRDefault="00E352DD" w:rsidP="00E352DD">
      <w:pPr>
        <w:spacing w:line="360" w:lineRule="auto"/>
        <w:jc w:val="center"/>
        <w:rPr>
          <w:rFonts w:eastAsia="Calibri"/>
          <w:b/>
          <w:caps/>
          <w:sz w:val="34"/>
          <w:szCs w:val="34"/>
          <w:lang w:val="bg-BG"/>
        </w:rPr>
      </w:pPr>
      <w:r w:rsidRPr="009B7BB7">
        <w:rPr>
          <w:rFonts w:eastAsia="Calibri"/>
          <w:b/>
          <w:caps/>
          <w:sz w:val="34"/>
          <w:szCs w:val="34"/>
          <w:lang w:val="bg-BG"/>
        </w:rPr>
        <w:lastRenderedPageBreak/>
        <w:t>столична община</w:t>
      </w:r>
    </w:p>
    <w:p w14:paraId="2F211C3C" w14:textId="77777777" w:rsidR="00E352DD" w:rsidRPr="005C6186" w:rsidRDefault="00E352DD" w:rsidP="00E352DD">
      <w:pPr>
        <w:spacing w:line="360" w:lineRule="auto"/>
        <w:rPr>
          <w:rFonts w:eastAsia="Calibri"/>
          <w:sz w:val="24"/>
          <w:szCs w:val="24"/>
          <w:lang w:val="bg-BG"/>
        </w:rPr>
      </w:pPr>
    </w:p>
    <w:p w14:paraId="2444F939" w14:textId="77777777" w:rsidR="00E352DD" w:rsidRPr="005C6186" w:rsidRDefault="00E352DD" w:rsidP="00E352DD">
      <w:pPr>
        <w:spacing w:line="360" w:lineRule="auto"/>
        <w:rPr>
          <w:rFonts w:eastAsia="Calibri"/>
          <w:sz w:val="24"/>
          <w:szCs w:val="24"/>
          <w:lang w:val="bg-BG"/>
        </w:rPr>
      </w:pPr>
    </w:p>
    <w:p w14:paraId="0519C7DE" w14:textId="77777777" w:rsidR="00E352DD" w:rsidRPr="005C6186" w:rsidRDefault="00E352DD" w:rsidP="00E352DD">
      <w:pPr>
        <w:spacing w:line="360" w:lineRule="auto"/>
        <w:rPr>
          <w:rFonts w:eastAsia="Calibri"/>
          <w:sz w:val="24"/>
          <w:szCs w:val="24"/>
          <w:lang w:val="bg-BG"/>
        </w:rPr>
      </w:pPr>
    </w:p>
    <w:p w14:paraId="4915400D" w14:textId="77777777" w:rsidR="00E352DD" w:rsidRPr="005C6186" w:rsidRDefault="00E352DD" w:rsidP="00E352DD">
      <w:pPr>
        <w:spacing w:line="360" w:lineRule="auto"/>
        <w:rPr>
          <w:rFonts w:eastAsia="Calibri"/>
          <w:sz w:val="24"/>
          <w:szCs w:val="24"/>
          <w:lang w:val="bg-BG"/>
        </w:rPr>
      </w:pPr>
    </w:p>
    <w:p w14:paraId="4F471999" w14:textId="77777777" w:rsidR="00E352DD" w:rsidRPr="005C6186" w:rsidRDefault="00E352DD" w:rsidP="00E352DD">
      <w:pPr>
        <w:spacing w:line="360" w:lineRule="auto"/>
        <w:rPr>
          <w:rFonts w:eastAsia="Calibri"/>
          <w:sz w:val="24"/>
          <w:szCs w:val="24"/>
          <w:lang w:val="bg-BG"/>
        </w:rPr>
      </w:pPr>
    </w:p>
    <w:p w14:paraId="75ADEB7B" w14:textId="77777777" w:rsidR="00E352DD" w:rsidRPr="005C6186" w:rsidRDefault="00E352DD" w:rsidP="00E352DD">
      <w:pPr>
        <w:spacing w:line="360" w:lineRule="auto"/>
        <w:rPr>
          <w:rFonts w:eastAsia="Calibri"/>
          <w:sz w:val="24"/>
          <w:szCs w:val="24"/>
          <w:lang w:val="bg-BG"/>
        </w:rPr>
      </w:pPr>
    </w:p>
    <w:p w14:paraId="641BD834" w14:textId="77777777" w:rsidR="00E352DD" w:rsidRPr="00782278" w:rsidRDefault="00E352DD" w:rsidP="00E352DD">
      <w:pPr>
        <w:spacing w:line="360" w:lineRule="auto"/>
        <w:rPr>
          <w:rFonts w:eastAsia="Calibri"/>
          <w:sz w:val="24"/>
          <w:szCs w:val="24"/>
          <w:lang w:val="bg-BG"/>
        </w:rPr>
      </w:pPr>
    </w:p>
    <w:p w14:paraId="1B423CF4" w14:textId="77777777" w:rsidR="00E352DD" w:rsidRPr="005C6186" w:rsidRDefault="00E352DD" w:rsidP="00E352DD">
      <w:pPr>
        <w:spacing w:line="360" w:lineRule="auto"/>
        <w:rPr>
          <w:rFonts w:eastAsia="Calibri"/>
          <w:sz w:val="24"/>
          <w:szCs w:val="24"/>
          <w:lang w:val="bg-BG"/>
        </w:rPr>
      </w:pPr>
    </w:p>
    <w:p w14:paraId="57290BFF" w14:textId="77777777" w:rsidR="00E352DD" w:rsidRPr="007E0397" w:rsidRDefault="00E352DD" w:rsidP="00E352DD">
      <w:pPr>
        <w:spacing w:line="360" w:lineRule="auto"/>
        <w:jc w:val="center"/>
        <w:rPr>
          <w:rFonts w:eastAsia="Calibri"/>
          <w:b/>
          <w:sz w:val="30"/>
          <w:szCs w:val="30"/>
          <w:lang w:val="bg-BG"/>
        </w:rPr>
      </w:pPr>
      <w:r>
        <w:rPr>
          <w:rFonts w:eastAsia="Calibri"/>
          <w:b/>
          <w:sz w:val="30"/>
          <w:szCs w:val="30"/>
          <w:lang w:val="bg-BG"/>
        </w:rPr>
        <w:t>София</w:t>
      </w:r>
    </w:p>
    <w:p w14:paraId="5CBE07AF" w14:textId="77777777" w:rsidR="00E352DD" w:rsidRPr="007E0397" w:rsidRDefault="00E352DD" w:rsidP="00E352DD">
      <w:pPr>
        <w:spacing w:line="360" w:lineRule="auto"/>
        <w:jc w:val="center"/>
        <w:rPr>
          <w:rFonts w:eastAsia="Calibri"/>
          <w:b/>
          <w:sz w:val="30"/>
          <w:szCs w:val="30"/>
          <w:lang w:val="bg-BG"/>
        </w:rPr>
      </w:pPr>
      <w:r w:rsidRPr="007E0397">
        <w:rPr>
          <w:rFonts w:eastAsia="Calibri"/>
          <w:b/>
          <w:sz w:val="30"/>
          <w:szCs w:val="30"/>
          <w:lang w:val="bg-BG"/>
        </w:rPr>
        <w:t>20</w:t>
      </w:r>
      <w:r>
        <w:rPr>
          <w:rFonts w:eastAsia="Calibri"/>
          <w:b/>
          <w:sz w:val="30"/>
          <w:szCs w:val="30"/>
        </w:rPr>
        <w:t>21</w:t>
      </w:r>
    </w:p>
    <w:p w14:paraId="01399A72" w14:textId="77777777" w:rsidR="00E352DD" w:rsidRDefault="00E352DD" w:rsidP="00E352DD">
      <w:pPr>
        <w:spacing w:line="360" w:lineRule="auto"/>
        <w:jc w:val="center"/>
        <w:rPr>
          <w:rFonts w:eastAsia="Calibri"/>
          <w:sz w:val="24"/>
          <w:szCs w:val="24"/>
          <w:lang w:val="bg-BG"/>
        </w:rPr>
      </w:pPr>
    </w:p>
    <w:p w14:paraId="19E6C109" w14:textId="77777777" w:rsidR="00E352DD" w:rsidRPr="005C6186" w:rsidRDefault="00E352DD" w:rsidP="00E352DD">
      <w:pPr>
        <w:spacing w:line="360" w:lineRule="auto"/>
        <w:jc w:val="center"/>
        <w:rPr>
          <w:rFonts w:eastAsia="Calibri"/>
          <w:sz w:val="24"/>
          <w:szCs w:val="24"/>
          <w:lang w:val="bg-BG"/>
        </w:rPr>
      </w:pPr>
    </w:p>
    <w:p w14:paraId="448843E5" w14:textId="77777777" w:rsidR="00E352DD" w:rsidRPr="0076232E" w:rsidRDefault="00E352DD" w:rsidP="00E352DD">
      <w:pPr>
        <w:spacing w:before="120" w:line="240" w:lineRule="auto"/>
        <w:mirrorIndents/>
        <w:rPr>
          <w:rFonts w:eastAsia="Calibri"/>
          <w:b/>
          <w:caps/>
          <w:sz w:val="24"/>
          <w:szCs w:val="24"/>
          <w:lang w:val="bg-BG"/>
        </w:rPr>
      </w:pPr>
      <w:r w:rsidRPr="0076232E">
        <w:rPr>
          <w:rFonts w:eastAsia="Calibri"/>
          <w:b/>
          <w:caps/>
          <w:sz w:val="24"/>
          <w:szCs w:val="24"/>
          <w:lang w:val="bg-BG"/>
        </w:rPr>
        <w:t>въведение</w:t>
      </w:r>
    </w:p>
    <w:p w14:paraId="3AA1946D" w14:textId="77777777" w:rsidR="00E352DD" w:rsidRPr="0076232E" w:rsidRDefault="00E352DD" w:rsidP="00E352DD">
      <w:pPr>
        <w:spacing w:before="120" w:line="240" w:lineRule="auto"/>
        <w:mirrorIndents/>
        <w:rPr>
          <w:sz w:val="24"/>
          <w:szCs w:val="24"/>
          <w:lang w:val="bg-BG" w:eastAsia="en-US"/>
        </w:rPr>
      </w:pPr>
      <w:r w:rsidRPr="0076232E">
        <w:rPr>
          <w:sz w:val="24"/>
          <w:szCs w:val="24"/>
          <w:lang w:val="bg-BG" w:eastAsia="en-US"/>
        </w:rPr>
        <w:t>Програмният бюджет е бюджет, фокусиран върху очакваните резултати от услугите и дейностите, които се предлагат или изпълняват от общината. Вниманието е върху постигането на дългосрочните цели на местната общественост.</w:t>
      </w:r>
    </w:p>
    <w:p w14:paraId="63C7EEDD" w14:textId="77777777" w:rsidR="00E352DD" w:rsidRPr="0076232E" w:rsidRDefault="00E352DD" w:rsidP="00E352DD">
      <w:pPr>
        <w:spacing w:before="120" w:line="240" w:lineRule="auto"/>
        <w:mirrorIndents/>
        <w:rPr>
          <w:sz w:val="24"/>
          <w:szCs w:val="24"/>
          <w:lang w:val="bg-BG" w:eastAsia="en-US"/>
        </w:rPr>
      </w:pPr>
      <w:r w:rsidRPr="0076232E">
        <w:rPr>
          <w:sz w:val="24"/>
          <w:szCs w:val="24"/>
          <w:lang w:val="bg-BG" w:eastAsia="en-US"/>
        </w:rPr>
        <w:t>В програмния бюджет се свързват приходите и разходите с програми, които отговарят на целите, очакваните резултати и стратегиите на общината.</w:t>
      </w:r>
    </w:p>
    <w:p w14:paraId="08238940" w14:textId="77777777" w:rsidR="00E352DD" w:rsidRPr="0076232E" w:rsidRDefault="00E352DD" w:rsidP="00E352DD">
      <w:pPr>
        <w:spacing w:before="120" w:line="240" w:lineRule="auto"/>
        <w:mirrorIndents/>
        <w:rPr>
          <w:rFonts w:eastAsia="Calibri"/>
          <w:sz w:val="24"/>
          <w:szCs w:val="24"/>
          <w:lang w:val="bg-BG"/>
        </w:rPr>
      </w:pPr>
      <w:r w:rsidRPr="007D6DED">
        <w:rPr>
          <w:rFonts w:eastAsia="Calibri"/>
          <w:sz w:val="24"/>
          <w:szCs w:val="24"/>
          <w:lang w:val="bg-BG"/>
        </w:rPr>
        <w:t>Столичното о</w:t>
      </w:r>
      <w:r w:rsidRPr="007D6DED">
        <w:rPr>
          <w:rFonts w:eastAsia="Calibri"/>
          <w:sz w:val="24"/>
          <w:szCs w:val="24"/>
          <w:lang w:val="ru-RU"/>
        </w:rPr>
        <w:t>бщинско здравеопазване е умален модел на цялостното ни здравеопазване</w:t>
      </w:r>
      <w:r w:rsidRPr="007D6DED">
        <w:rPr>
          <w:rFonts w:eastAsia="Calibri"/>
          <w:sz w:val="24"/>
          <w:szCs w:val="24"/>
          <w:lang w:val="bg-BG"/>
        </w:rPr>
        <w:t xml:space="preserve">. На територията на столицата се намират </w:t>
      </w:r>
      <w:r w:rsidRPr="007D6DED">
        <w:rPr>
          <w:rFonts w:eastAsia="Calibri"/>
          <w:sz w:val="24"/>
          <w:szCs w:val="24"/>
          <w:lang w:val="ru-RU"/>
        </w:rPr>
        <w:t>20% от лечебните заведения в страната. Предимството на столичното здравеопазване е, че до значителна степен е</w:t>
      </w:r>
      <w:r w:rsidRPr="0076232E">
        <w:rPr>
          <w:rFonts w:eastAsia="Calibri"/>
          <w:sz w:val="24"/>
          <w:szCs w:val="24"/>
          <w:lang w:val="ru-RU"/>
        </w:rPr>
        <w:t xml:space="preserve"> съхранило кадрите.</w:t>
      </w:r>
      <w:r w:rsidRPr="0076232E">
        <w:rPr>
          <w:rFonts w:eastAsia="Calibri"/>
          <w:sz w:val="24"/>
          <w:szCs w:val="24"/>
          <w:lang w:val="bg-BG"/>
        </w:rPr>
        <w:t xml:space="preserve"> </w:t>
      </w:r>
    </w:p>
    <w:p w14:paraId="5655247B"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Високото ниво на столичното здравеопазване е резултат на концентрация на най-опитните медицински специалисти, голям брой здравни заведения от общинско и национално значение с богата материална база и съвременно медицинско оборудване за диагностика, лечение и рехабилитация.</w:t>
      </w:r>
    </w:p>
    <w:p w14:paraId="1B65606C"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lastRenderedPageBreak/>
        <w:t>Основната част от финансирането на здравната система е от здравни осигуровки, които към момента са 8 % от брутните доходи на всеки, който има трудови доходи в страната. Чрез своята данъчна и осигурителна политика държавата осигурява допълнителни средства, които позволяват функционирането на здравната система.</w:t>
      </w:r>
    </w:p>
    <w:p w14:paraId="1B30CBA1"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Традиционна е подкрепата на Столична община за общинските лечебните заведения по осигуряването на финансови средства за капиталови разходи, строително-ремонтни дейности, саниране на сграден фонд, енергоспестяващи мероприятия и високотехнологична медицинска апаратура, както и при осъществяване на международни проекти и инициативи с цел подобряване на материалната база и гарантиране на качеството на медицинските дейности.</w:t>
      </w:r>
    </w:p>
    <w:p w14:paraId="3A00A266"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 xml:space="preserve">Програмата на Столична община за финансиране на извършваните от общинските лечебни заведения за болнична помощ медицински дейности извън обхвата на задължителното здравно осигуряване има следните цели: </w:t>
      </w:r>
    </w:p>
    <w:p w14:paraId="456304C3" w14:textId="77777777" w:rsidR="00E352DD" w:rsidRPr="0076232E" w:rsidRDefault="00E352DD" w:rsidP="00E352DD">
      <w:pPr>
        <w:numPr>
          <w:ilvl w:val="0"/>
          <w:numId w:val="48"/>
        </w:numPr>
        <w:spacing w:before="120" w:after="0" w:line="240" w:lineRule="auto"/>
        <w:mirrorIndents/>
        <w:jc w:val="both"/>
        <w:rPr>
          <w:rFonts w:eastAsia="Calibri"/>
          <w:sz w:val="24"/>
          <w:szCs w:val="24"/>
          <w:lang w:val="bg-BG"/>
        </w:rPr>
      </w:pPr>
      <w:r w:rsidRPr="0076232E">
        <w:rPr>
          <w:rFonts w:eastAsia="Calibri"/>
          <w:sz w:val="24"/>
          <w:szCs w:val="24"/>
          <w:lang w:val="bg-BG"/>
        </w:rPr>
        <w:t>Частично да компенсира недофинансирането от НЗОК и МЗ на медицински дейности извършвани от общинските лечебни заведения;</w:t>
      </w:r>
    </w:p>
    <w:p w14:paraId="02BA814A" w14:textId="77777777" w:rsidR="00E352DD" w:rsidRPr="0076232E" w:rsidRDefault="00E352DD" w:rsidP="00E352DD">
      <w:pPr>
        <w:numPr>
          <w:ilvl w:val="0"/>
          <w:numId w:val="48"/>
        </w:numPr>
        <w:spacing w:before="120" w:after="0" w:line="240" w:lineRule="auto"/>
        <w:mirrorIndents/>
        <w:jc w:val="both"/>
        <w:rPr>
          <w:rFonts w:eastAsia="Calibri"/>
          <w:sz w:val="24"/>
          <w:szCs w:val="24"/>
          <w:lang w:val="bg-BG"/>
        </w:rPr>
      </w:pPr>
      <w:r w:rsidRPr="0076232E">
        <w:rPr>
          <w:rFonts w:eastAsia="Calibri"/>
          <w:sz w:val="24"/>
          <w:szCs w:val="24"/>
          <w:lang w:val="bg-BG"/>
        </w:rPr>
        <w:t>Да гарантира устойчивост във финансовите показатели и стабилност на трудовите възнаграждения в общинските лечебните заведения.</w:t>
      </w:r>
    </w:p>
    <w:p w14:paraId="47FE9C32" w14:textId="77777777" w:rsidR="00E352DD" w:rsidRPr="0076232E" w:rsidRDefault="00E352DD" w:rsidP="00E352DD">
      <w:pPr>
        <w:numPr>
          <w:ilvl w:val="0"/>
          <w:numId w:val="48"/>
        </w:numPr>
        <w:spacing w:before="120" w:after="0" w:line="240" w:lineRule="auto"/>
        <w:mirrorIndents/>
        <w:jc w:val="both"/>
        <w:rPr>
          <w:rFonts w:eastAsia="Calibri"/>
          <w:sz w:val="24"/>
          <w:szCs w:val="24"/>
          <w:lang w:val="bg-BG"/>
        </w:rPr>
      </w:pPr>
      <w:r w:rsidRPr="0076232E">
        <w:rPr>
          <w:rFonts w:eastAsia="Calibri"/>
          <w:sz w:val="24"/>
          <w:szCs w:val="24"/>
          <w:lang w:val="bg-BG"/>
        </w:rPr>
        <w:t>Да осигури оказване на спешна медицинска помощ, болнично лечение, продължително лечение и рехабилитация на здравнонеосигурени лица и социално слаби граждани.</w:t>
      </w:r>
    </w:p>
    <w:p w14:paraId="0DBAF95E" w14:textId="77777777" w:rsidR="00E352DD" w:rsidRPr="0076232E" w:rsidRDefault="00E352DD" w:rsidP="00E352DD">
      <w:pPr>
        <w:spacing w:before="120" w:line="240" w:lineRule="auto"/>
        <w:mirrorIndents/>
        <w:rPr>
          <w:rFonts w:eastAsia="Calibri"/>
          <w:b/>
          <w:bCs/>
          <w:i/>
          <w:iCs/>
          <w:caps/>
          <w:sz w:val="24"/>
          <w:szCs w:val="24"/>
          <w:lang w:val="bg-BG"/>
        </w:rPr>
      </w:pPr>
      <w:r>
        <w:rPr>
          <w:rFonts w:eastAsia="Calibri"/>
          <w:sz w:val="24"/>
          <w:szCs w:val="24"/>
          <w:lang w:val="bg-BG"/>
        </w:rPr>
        <w:br w:type="page"/>
      </w:r>
      <w:bookmarkStart w:id="159" w:name="_Toc471374931"/>
      <w:bookmarkStart w:id="160" w:name="_Toc471601451"/>
      <w:r w:rsidRPr="0076232E">
        <w:rPr>
          <w:rFonts w:eastAsia="Calibri"/>
          <w:b/>
          <w:bCs/>
          <w:i/>
          <w:iCs/>
          <w:caps/>
          <w:sz w:val="24"/>
          <w:szCs w:val="24"/>
          <w:lang w:val="bg-BG"/>
        </w:rPr>
        <w:lastRenderedPageBreak/>
        <w:t>І. програма „общински болници”</w:t>
      </w:r>
      <w:bookmarkEnd w:id="159"/>
      <w:bookmarkEnd w:id="160"/>
    </w:p>
    <w:p w14:paraId="58FD5567" w14:textId="77777777" w:rsidR="00E352DD" w:rsidRPr="0076232E" w:rsidRDefault="00E352DD" w:rsidP="00E352DD">
      <w:pPr>
        <w:keepNext/>
        <w:spacing w:before="120" w:line="240" w:lineRule="auto"/>
        <w:mirrorIndents/>
        <w:outlineLvl w:val="1"/>
        <w:rPr>
          <w:rFonts w:eastAsia="Calibri"/>
          <w:b/>
          <w:bCs/>
          <w:i/>
          <w:iCs/>
          <w:caps/>
          <w:sz w:val="24"/>
          <w:szCs w:val="24"/>
          <w:lang w:val="bg-BG"/>
        </w:rPr>
      </w:pPr>
      <w:bookmarkStart w:id="161" w:name="_Toc471374932"/>
      <w:bookmarkStart w:id="162" w:name="_Toc471601452"/>
      <w:r w:rsidRPr="0076232E">
        <w:rPr>
          <w:rFonts w:eastAsia="Calibri"/>
          <w:b/>
          <w:bCs/>
          <w:i/>
          <w:iCs/>
          <w:caps/>
          <w:sz w:val="24"/>
          <w:szCs w:val="24"/>
          <w:lang w:val="bg-BG"/>
        </w:rPr>
        <w:t xml:space="preserve">ПОДПРОГРАМА: „ОСИГУРЯВАНЕ на медицински услуги извън обхвата на задължителното здравно осигуряване </w:t>
      </w:r>
      <w:r w:rsidRPr="0076232E">
        <w:rPr>
          <w:rFonts w:eastAsia="Calibri"/>
          <w:b/>
          <w:bCs/>
          <w:i/>
          <w:iCs/>
          <w:caps/>
          <w:sz w:val="24"/>
          <w:szCs w:val="24"/>
          <w:lang w:val="x-none"/>
        </w:rPr>
        <w:t>”</w:t>
      </w:r>
      <w:bookmarkEnd w:id="161"/>
      <w:bookmarkEnd w:id="162"/>
    </w:p>
    <w:p w14:paraId="09C22A7C" w14:textId="77777777" w:rsidR="00E352DD" w:rsidRPr="00412C8B" w:rsidRDefault="00E352DD" w:rsidP="00E352DD">
      <w:pPr>
        <w:spacing w:before="120" w:line="240" w:lineRule="auto"/>
        <w:mirrorIndents/>
        <w:rPr>
          <w:rFonts w:eastAsia="+mj-ea"/>
          <w:bCs/>
          <w:kern w:val="24"/>
          <w:sz w:val="24"/>
          <w:szCs w:val="24"/>
          <w:lang w:val="bg-BG"/>
        </w:rPr>
      </w:pPr>
      <w:r w:rsidRPr="00412C8B">
        <w:rPr>
          <w:rFonts w:eastAsia="+mj-ea"/>
          <w:bCs/>
          <w:kern w:val="24"/>
          <w:sz w:val="24"/>
          <w:szCs w:val="24"/>
          <w:lang w:val="bg-BG"/>
        </w:rPr>
        <w:t xml:space="preserve">Политиката на Столична община е насочена към подобряване на здравното благополучие и качеството на живот на българските граждани и намаляване на здравните неравенства чрез подкрепа за специфични дейности в областта на диагностиката и лечение на заболяванията и организацията на медицинската помощ извън обхвата на задължителното здравно осигуряване. </w:t>
      </w:r>
    </w:p>
    <w:p w14:paraId="78E49742"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Cs/>
          <w:sz w:val="24"/>
          <w:szCs w:val="24"/>
          <w:lang w:val="bg-BG"/>
        </w:rPr>
        <w:t xml:space="preserve">За утвърждаването на възприемането на здравето като основен ресурс и обект на инвестиции и преодоляването на здравните неравенства в контекста на постигането на икономически растеж, </w:t>
      </w:r>
      <w:r w:rsidRPr="0076232E">
        <w:rPr>
          <w:rFonts w:eastAsia="Calibri"/>
          <w:sz w:val="24"/>
          <w:szCs w:val="24"/>
          <w:lang w:val="bg-BG"/>
        </w:rPr>
        <w:t>ключова роля имат действията, които предприема Столична община.</w:t>
      </w:r>
    </w:p>
    <w:p w14:paraId="748BB25D" w14:textId="77777777" w:rsidR="00E352DD" w:rsidRPr="0076232E" w:rsidRDefault="00E352DD" w:rsidP="00E352DD">
      <w:pPr>
        <w:autoSpaceDE w:val="0"/>
        <w:autoSpaceDN w:val="0"/>
        <w:adjustRightInd w:val="0"/>
        <w:spacing w:before="120" w:line="240" w:lineRule="auto"/>
        <w:mirrorIndents/>
        <w:rPr>
          <w:rFonts w:eastAsia="MyriadPro-Regular"/>
          <w:sz w:val="24"/>
          <w:szCs w:val="24"/>
          <w:lang w:val="bg-BG"/>
        </w:rPr>
      </w:pPr>
      <w:r w:rsidRPr="0076232E">
        <w:rPr>
          <w:rFonts w:eastAsia="MyriadPro-Regular"/>
          <w:sz w:val="24"/>
          <w:szCs w:val="24"/>
          <w:lang w:val="bg-BG"/>
        </w:rPr>
        <w:t>Настоящата подпрограма е елемент от общата политика и отговорност на Столична община по подпомагане и стабилизиране на Столичното общинско здравеопазване и по-специално отговорност по отношение на осигуряването на специфични медицински дейности извън обхвата на задължителното здравно осигуряване. Тя има синергичен ефект по отношение на другите здравни и социални политики за подобряването на здравето на населението чрез осигуряване на достъпни и качествени медицински услуги.</w:t>
      </w:r>
    </w:p>
    <w:p w14:paraId="2E468F80" w14:textId="77777777" w:rsidR="00E352DD" w:rsidRPr="0076232E" w:rsidRDefault="00E352DD" w:rsidP="00E352DD">
      <w:pPr>
        <w:autoSpaceDE w:val="0"/>
        <w:autoSpaceDN w:val="0"/>
        <w:adjustRightInd w:val="0"/>
        <w:spacing w:before="120" w:line="240" w:lineRule="auto"/>
        <w:mirrorIndents/>
        <w:rPr>
          <w:rFonts w:eastAsia="MyriadPro-Regular"/>
          <w:sz w:val="24"/>
          <w:szCs w:val="24"/>
          <w:lang w:val="bg-BG"/>
        </w:rPr>
      </w:pPr>
      <w:r w:rsidRPr="0076232E">
        <w:rPr>
          <w:rFonts w:eastAsia="MyriadPro-Regular"/>
          <w:sz w:val="24"/>
          <w:szCs w:val="24"/>
          <w:lang w:val="bg-BG"/>
        </w:rPr>
        <w:t xml:space="preserve">Дейностите, финансирани чрез настоящата подпрограма допълват и надграждат дейностите, финансирани от Националната здравноосигурителна каса в областта на диагностиката и лечението на заболяванията и са насочени към общинските лечебни заведения за болнична помощ. </w:t>
      </w:r>
    </w:p>
    <w:p w14:paraId="63FBE2C3" w14:textId="77777777" w:rsidR="00E352DD" w:rsidRPr="0076232E" w:rsidRDefault="00E352DD" w:rsidP="00E352DD">
      <w:pPr>
        <w:autoSpaceDE w:val="0"/>
        <w:autoSpaceDN w:val="0"/>
        <w:adjustRightInd w:val="0"/>
        <w:spacing w:before="120" w:line="240" w:lineRule="auto"/>
        <w:mirrorIndents/>
        <w:rPr>
          <w:rFonts w:eastAsia="MyriadPro-Regular"/>
          <w:sz w:val="24"/>
          <w:szCs w:val="24"/>
          <w:lang w:val="bg-BG"/>
        </w:rPr>
      </w:pPr>
    </w:p>
    <w:p w14:paraId="513734B2" w14:textId="77777777" w:rsidR="00E352DD" w:rsidRPr="0076232E" w:rsidRDefault="00E352DD" w:rsidP="00E352DD">
      <w:pPr>
        <w:keepNext/>
        <w:spacing w:before="120" w:line="240" w:lineRule="auto"/>
        <w:mirrorIndents/>
        <w:outlineLvl w:val="1"/>
        <w:rPr>
          <w:rFonts w:eastAsia="Calibri"/>
          <w:b/>
          <w:bCs/>
          <w:i/>
          <w:iCs/>
          <w:caps/>
          <w:sz w:val="24"/>
          <w:szCs w:val="24"/>
          <w:lang w:val="bg-BG"/>
        </w:rPr>
      </w:pPr>
      <w:bookmarkStart w:id="163" w:name="_Toc471374933"/>
      <w:bookmarkStart w:id="164" w:name="_Toc471601453"/>
      <w:r w:rsidRPr="0076232E">
        <w:rPr>
          <w:rFonts w:eastAsia="Calibri"/>
          <w:b/>
          <w:bCs/>
          <w:i/>
          <w:iCs/>
          <w:caps/>
          <w:sz w:val="24"/>
          <w:szCs w:val="24"/>
          <w:lang w:val="x-none"/>
        </w:rPr>
        <w:t>ІІ. Цели на подпрограма „</w:t>
      </w:r>
      <w:r w:rsidRPr="0076232E">
        <w:rPr>
          <w:rFonts w:eastAsia="Calibri"/>
          <w:b/>
          <w:bCs/>
          <w:i/>
          <w:iCs/>
          <w:caps/>
          <w:sz w:val="24"/>
          <w:szCs w:val="24"/>
          <w:lang w:val="bg-BG"/>
        </w:rPr>
        <w:t xml:space="preserve">осигуряване на медицински услуги извън обхвата на задължителното здравно осигуряване </w:t>
      </w:r>
      <w:r w:rsidRPr="0076232E">
        <w:rPr>
          <w:rFonts w:eastAsia="Calibri"/>
          <w:b/>
          <w:bCs/>
          <w:i/>
          <w:iCs/>
          <w:caps/>
          <w:sz w:val="24"/>
          <w:szCs w:val="24"/>
          <w:lang w:val="x-none"/>
        </w:rPr>
        <w:t>”</w:t>
      </w:r>
      <w:bookmarkEnd w:id="163"/>
      <w:bookmarkEnd w:id="164"/>
    </w:p>
    <w:p w14:paraId="4DED730B" w14:textId="77777777" w:rsidR="00E352DD" w:rsidRDefault="00E352DD" w:rsidP="00E352DD">
      <w:pPr>
        <w:tabs>
          <w:tab w:val="left" w:pos="1134"/>
        </w:tabs>
        <w:autoSpaceDE w:val="0"/>
        <w:autoSpaceDN w:val="0"/>
        <w:adjustRightInd w:val="0"/>
        <w:spacing w:before="120" w:line="240" w:lineRule="auto"/>
        <w:mirrorIndents/>
        <w:rPr>
          <w:rFonts w:eastAsia="Calibri"/>
          <w:sz w:val="24"/>
          <w:szCs w:val="24"/>
          <w:lang w:val="bg-BG"/>
        </w:rPr>
      </w:pPr>
      <w:r>
        <w:rPr>
          <w:rFonts w:eastAsia="Calibri"/>
          <w:sz w:val="24"/>
          <w:szCs w:val="24"/>
          <w:lang w:val="bg-BG"/>
        </w:rPr>
        <w:t>Програмата има следните оперативни цели:</w:t>
      </w:r>
    </w:p>
    <w:p w14:paraId="296359CB" w14:textId="77777777" w:rsidR="00E352DD" w:rsidRPr="00DA671C" w:rsidRDefault="00E352DD" w:rsidP="00E352DD">
      <w:pPr>
        <w:numPr>
          <w:ilvl w:val="0"/>
          <w:numId w:val="49"/>
        </w:numPr>
        <w:tabs>
          <w:tab w:val="left" w:pos="426"/>
        </w:tabs>
        <w:autoSpaceDE w:val="0"/>
        <w:autoSpaceDN w:val="0"/>
        <w:adjustRightInd w:val="0"/>
        <w:spacing w:before="120" w:after="0" w:line="240" w:lineRule="auto"/>
        <w:mirrorIndents/>
        <w:jc w:val="both"/>
        <w:rPr>
          <w:rFonts w:eastAsia="MyriadPro-Regular"/>
          <w:sz w:val="24"/>
          <w:szCs w:val="24"/>
          <w:lang w:val="ru-RU"/>
        </w:rPr>
      </w:pPr>
      <w:r w:rsidRPr="00DA671C">
        <w:rPr>
          <w:rFonts w:eastAsia="Calibri"/>
          <w:sz w:val="24"/>
          <w:szCs w:val="24"/>
          <w:lang w:val="bg-BG"/>
        </w:rPr>
        <w:t>Подобряване здравето на населението и повишаване качеството на живот чрез намаляване на заболеваемостта и преждевременната смъртност;</w:t>
      </w:r>
    </w:p>
    <w:p w14:paraId="637890B1" w14:textId="77777777" w:rsidR="00E352DD" w:rsidRPr="00DA671C" w:rsidRDefault="00E352DD" w:rsidP="00E352DD">
      <w:pPr>
        <w:numPr>
          <w:ilvl w:val="0"/>
          <w:numId w:val="49"/>
        </w:numPr>
        <w:tabs>
          <w:tab w:val="left" w:pos="426"/>
        </w:tabs>
        <w:autoSpaceDE w:val="0"/>
        <w:autoSpaceDN w:val="0"/>
        <w:adjustRightInd w:val="0"/>
        <w:spacing w:before="120" w:after="0" w:line="240" w:lineRule="auto"/>
        <w:mirrorIndents/>
        <w:jc w:val="both"/>
        <w:rPr>
          <w:rFonts w:eastAsia="MyriadPro-Regular"/>
          <w:sz w:val="24"/>
          <w:szCs w:val="24"/>
          <w:lang w:val="ru-RU"/>
        </w:rPr>
      </w:pPr>
      <w:r>
        <w:rPr>
          <w:rFonts w:eastAsia="Calibri"/>
          <w:sz w:val="24"/>
          <w:szCs w:val="24"/>
          <w:lang w:val="bg-BG"/>
        </w:rPr>
        <w:t>Г</w:t>
      </w:r>
      <w:r w:rsidRPr="00DA671C">
        <w:rPr>
          <w:rFonts w:eastAsia="Calibri"/>
          <w:sz w:val="24"/>
          <w:szCs w:val="24"/>
          <w:lang w:val="bg-BG"/>
        </w:rPr>
        <w:t>арантира</w:t>
      </w:r>
      <w:r>
        <w:rPr>
          <w:rFonts w:eastAsia="Calibri"/>
          <w:sz w:val="24"/>
          <w:szCs w:val="24"/>
          <w:lang w:val="bg-BG"/>
        </w:rPr>
        <w:t>не на</w:t>
      </w:r>
      <w:r w:rsidRPr="00DA671C">
        <w:rPr>
          <w:rFonts w:eastAsia="Calibri"/>
          <w:sz w:val="24"/>
          <w:szCs w:val="24"/>
          <w:lang w:val="bg-BG"/>
        </w:rPr>
        <w:t xml:space="preserve"> по-голяма справедливост, равнопоставеност и достъпност на всички граждани на столицата до качествена медицинска помощ; </w:t>
      </w:r>
    </w:p>
    <w:p w14:paraId="2353CF3D" w14:textId="77777777" w:rsidR="00E352DD" w:rsidRPr="00DA671C" w:rsidRDefault="00E352DD" w:rsidP="00E352DD">
      <w:pPr>
        <w:numPr>
          <w:ilvl w:val="0"/>
          <w:numId w:val="49"/>
        </w:numPr>
        <w:autoSpaceDE w:val="0"/>
        <w:autoSpaceDN w:val="0"/>
        <w:adjustRightInd w:val="0"/>
        <w:spacing w:before="120" w:after="0" w:line="240" w:lineRule="auto"/>
        <w:mirrorIndents/>
        <w:jc w:val="both"/>
        <w:rPr>
          <w:rFonts w:eastAsia="Calibri"/>
          <w:color w:val="000000"/>
          <w:sz w:val="24"/>
          <w:szCs w:val="24"/>
          <w:lang w:val="bg-BG"/>
        </w:rPr>
      </w:pPr>
      <w:r>
        <w:rPr>
          <w:rFonts w:eastAsia="Calibri"/>
          <w:color w:val="000000"/>
          <w:sz w:val="24"/>
          <w:szCs w:val="24"/>
          <w:lang w:val="bg-BG"/>
        </w:rPr>
        <w:t>Подобряане на</w:t>
      </w:r>
      <w:r w:rsidRPr="00DA671C">
        <w:rPr>
          <w:rFonts w:eastAsia="Calibri"/>
          <w:color w:val="000000"/>
          <w:sz w:val="24"/>
          <w:szCs w:val="24"/>
          <w:lang w:val="bg-BG"/>
        </w:rPr>
        <w:t xml:space="preserve"> финансовото състояние на лечебните заведения;</w:t>
      </w:r>
    </w:p>
    <w:p w14:paraId="61421114" w14:textId="77777777" w:rsidR="00E352DD" w:rsidRDefault="00E352DD" w:rsidP="00E352DD">
      <w:pPr>
        <w:numPr>
          <w:ilvl w:val="0"/>
          <w:numId w:val="49"/>
        </w:numPr>
        <w:autoSpaceDE w:val="0"/>
        <w:autoSpaceDN w:val="0"/>
        <w:adjustRightInd w:val="0"/>
        <w:spacing w:before="120" w:after="0" w:line="240" w:lineRule="auto"/>
        <w:mirrorIndents/>
        <w:jc w:val="both"/>
        <w:rPr>
          <w:rFonts w:eastAsia="Calibri"/>
          <w:color w:val="000000"/>
          <w:sz w:val="24"/>
          <w:szCs w:val="24"/>
          <w:lang w:val="bg-BG"/>
        </w:rPr>
      </w:pPr>
      <w:r>
        <w:rPr>
          <w:rFonts w:eastAsia="Calibri"/>
          <w:color w:val="000000"/>
          <w:sz w:val="24"/>
          <w:szCs w:val="24"/>
          <w:lang w:val="bg-BG"/>
        </w:rPr>
        <w:t>Създадане на</w:t>
      </w:r>
      <w:r w:rsidRPr="00DA671C">
        <w:rPr>
          <w:rFonts w:eastAsia="Calibri"/>
          <w:color w:val="000000"/>
          <w:sz w:val="24"/>
          <w:szCs w:val="24"/>
          <w:lang w:val="bg-BG"/>
        </w:rPr>
        <w:t xml:space="preserve"> условия за постигане на качество на здравните услуги, съответстващо на европейските стандарти;</w:t>
      </w:r>
    </w:p>
    <w:p w14:paraId="3E9615C4" w14:textId="77777777" w:rsidR="00E352DD" w:rsidRPr="007D6DED" w:rsidRDefault="00E352DD" w:rsidP="00E352DD">
      <w:pPr>
        <w:numPr>
          <w:ilvl w:val="0"/>
          <w:numId w:val="49"/>
        </w:numPr>
        <w:autoSpaceDE w:val="0"/>
        <w:autoSpaceDN w:val="0"/>
        <w:adjustRightInd w:val="0"/>
        <w:spacing w:before="120" w:after="0" w:line="240" w:lineRule="auto"/>
        <w:mirrorIndents/>
        <w:jc w:val="both"/>
        <w:rPr>
          <w:rFonts w:eastAsia="Calibri"/>
          <w:color w:val="000000"/>
          <w:sz w:val="24"/>
          <w:szCs w:val="24"/>
          <w:lang w:val="bg-BG"/>
        </w:rPr>
      </w:pPr>
      <w:r>
        <w:rPr>
          <w:rFonts w:eastAsia="Calibri"/>
          <w:color w:val="000000"/>
          <w:sz w:val="24"/>
          <w:szCs w:val="24"/>
          <w:lang w:val="bg-BG"/>
        </w:rPr>
        <w:t>Осигуряване</w:t>
      </w:r>
      <w:r w:rsidRPr="007D6DED">
        <w:rPr>
          <w:rFonts w:eastAsia="Calibri"/>
          <w:color w:val="000000"/>
          <w:sz w:val="24"/>
          <w:szCs w:val="24"/>
          <w:lang w:val="bg-BG"/>
        </w:rPr>
        <w:t xml:space="preserve"> и гарантира</w:t>
      </w:r>
      <w:r>
        <w:rPr>
          <w:rFonts w:eastAsia="Calibri"/>
          <w:color w:val="000000"/>
          <w:sz w:val="24"/>
          <w:szCs w:val="24"/>
          <w:lang w:val="bg-BG"/>
        </w:rPr>
        <w:t>не на</w:t>
      </w:r>
      <w:r w:rsidRPr="007D6DED">
        <w:rPr>
          <w:rFonts w:eastAsia="Calibri"/>
          <w:color w:val="000000"/>
          <w:sz w:val="24"/>
          <w:szCs w:val="24"/>
          <w:lang w:val="bg-BG"/>
        </w:rPr>
        <w:t xml:space="preserve"> прозрачност и информираност на обществото за състоянието, поведението и резултатите от функционирането на столичното общинско здравеопазване.</w:t>
      </w:r>
    </w:p>
    <w:p w14:paraId="1ECDD074" w14:textId="77777777" w:rsidR="00E352DD" w:rsidRPr="00DA671C" w:rsidRDefault="00E352DD" w:rsidP="00E352DD">
      <w:pPr>
        <w:autoSpaceDE w:val="0"/>
        <w:autoSpaceDN w:val="0"/>
        <w:adjustRightInd w:val="0"/>
        <w:spacing w:before="120" w:line="240" w:lineRule="auto"/>
        <w:mirrorIndents/>
        <w:rPr>
          <w:rFonts w:eastAsia="Calibri"/>
          <w:color w:val="000000"/>
          <w:sz w:val="24"/>
          <w:szCs w:val="24"/>
          <w:lang w:val="bg-BG"/>
        </w:rPr>
      </w:pPr>
    </w:p>
    <w:p w14:paraId="58C2BA38"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b/>
          <w:i/>
          <w:caps/>
          <w:sz w:val="24"/>
          <w:szCs w:val="24"/>
          <w:lang w:val="bg-BG"/>
        </w:rPr>
        <w:lastRenderedPageBreak/>
        <w:t>ІІІ. фактори за измерване</w:t>
      </w:r>
    </w:p>
    <w:p w14:paraId="416EEC82" w14:textId="77777777" w:rsidR="00E352DD" w:rsidRPr="0076232E" w:rsidRDefault="00E352DD" w:rsidP="00E352DD">
      <w:pPr>
        <w:numPr>
          <w:ilvl w:val="0"/>
          <w:numId w:val="46"/>
        </w:numPr>
        <w:spacing w:before="120" w:after="0" w:line="240" w:lineRule="auto"/>
        <w:ind w:left="0" w:firstLine="0"/>
        <w:mirrorIndents/>
        <w:rPr>
          <w:rFonts w:eastAsia="Calibri"/>
          <w:b/>
          <w:caps/>
          <w:sz w:val="24"/>
          <w:szCs w:val="24"/>
          <w:lang w:val="bg-BG"/>
        </w:rPr>
      </w:pPr>
      <w:r w:rsidRPr="0076232E">
        <w:rPr>
          <w:rFonts w:eastAsia="Calibri"/>
          <w:b/>
          <w:caps/>
          <w:sz w:val="24"/>
          <w:szCs w:val="24"/>
          <w:lang w:val="bg-BG"/>
        </w:rPr>
        <w:t>измерване на вложените ресурси</w:t>
      </w:r>
    </w:p>
    <w:p w14:paraId="5773FBDC" w14:textId="77777777" w:rsidR="00E352DD" w:rsidRPr="0076232E" w:rsidRDefault="00E352DD" w:rsidP="00E352DD">
      <w:pPr>
        <w:autoSpaceDE w:val="0"/>
        <w:autoSpaceDN w:val="0"/>
        <w:adjustRightInd w:val="0"/>
        <w:spacing w:before="120" w:line="240" w:lineRule="auto"/>
        <w:mirrorIndents/>
        <w:rPr>
          <w:rFonts w:eastAsia="Calibri"/>
          <w:color w:val="000000"/>
          <w:sz w:val="24"/>
          <w:szCs w:val="24"/>
          <w:lang w:val="bg-BG"/>
        </w:rPr>
      </w:pPr>
      <w:r w:rsidRPr="0076232E">
        <w:rPr>
          <w:rFonts w:eastAsia="Calibri"/>
          <w:color w:val="000000"/>
          <w:sz w:val="24"/>
          <w:szCs w:val="24"/>
          <w:lang w:val="bg-BG"/>
        </w:rPr>
        <w:t xml:space="preserve">Липсват механизъм и условия за медицинското обслужване на здравнонеосигурените лица. Няма ясна регламентация за това кой ще поема разходите за тяхното лечение. По тези причини здравните заведения постоянно натрупват сериозни задължения за доставка на консумативи, материали, лекарства и др. </w:t>
      </w:r>
    </w:p>
    <w:p w14:paraId="17920F73" w14:textId="77777777" w:rsidR="00E352DD" w:rsidRPr="0076232E" w:rsidRDefault="00E352DD" w:rsidP="00E352DD">
      <w:pPr>
        <w:autoSpaceDE w:val="0"/>
        <w:autoSpaceDN w:val="0"/>
        <w:adjustRightInd w:val="0"/>
        <w:spacing w:before="120" w:line="240" w:lineRule="auto"/>
        <w:mirrorIndents/>
        <w:rPr>
          <w:rFonts w:eastAsia="Calibri"/>
          <w:color w:val="000000"/>
          <w:sz w:val="24"/>
          <w:szCs w:val="24"/>
          <w:lang w:val="bg-BG"/>
        </w:rPr>
      </w:pPr>
      <w:r w:rsidRPr="0076232E">
        <w:rPr>
          <w:rFonts w:eastAsia="Calibri"/>
          <w:color w:val="000000"/>
          <w:sz w:val="24"/>
          <w:szCs w:val="24"/>
          <w:lang w:val="bg-BG"/>
        </w:rPr>
        <w:t>Столична община ежегодно осигурява от собствения си бюджет между 10 и 10,5 милиона лева за финансиране на медицински дейности извън обхвата на задължителното здравно осигуряване, извършвани от общинските лечебни заведения за болнична помощ.</w:t>
      </w:r>
    </w:p>
    <w:p w14:paraId="5967712A" w14:textId="77777777" w:rsidR="00E352DD" w:rsidRPr="0076232E" w:rsidRDefault="00E352DD" w:rsidP="00E352DD">
      <w:pPr>
        <w:autoSpaceDE w:val="0"/>
        <w:autoSpaceDN w:val="0"/>
        <w:adjustRightInd w:val="0"/>
        <w:spacing w:before="120" w:line="240" w:lineRule="auto"/>
        <w:mirrorIndents/>
        <w:rPr>
          <w:rFonts w:eastAsia="Calibri"/>
          <w:color w:val="000000"/>
          <w:sz w:val="24"/>
          <w:szCs w:val="24"/>
          <w:lang w:val="bg-BG"/>
        </w:rPr>
      </w:pPr>
      <w:r w:rsidRPr="0076232E">
        <w:rPr>
          <w:rFonts w:eastAsia="Calibri"/>
          <w:color w:val="000000"/>
          <w:sz w:val="24"/>
          <w:szCs w:val="24"/>
          <w:lang w:val="bg-BG"/>
        </w:rPr>
        <w:t>Столична община осигурява финансова стабилност на общинските лечебни заведения за болнична помощ, като заплаща извършените медицински дейности, за които те не получават финансиране от други източници.</w:t>
      </w:r>
    </w:p>
    <w:p w14:paraId="706D2F8C" w14:textId="77777777" w:rsidR="00E352DD" w:rsidRPr="0076232E" w:rsidRDefault="00E352DD" w:rsidP="00E352DD">
      <w:pPr>
        <w:numPr>
          <w:ilvl w:val="0"/>
          <w:numId w:val="46"/>
        </w:numPr>
        <w:spacing w:before="120" w:after="0" w:line="240" w:lineRule="auto"/>
        <w:ind w:left="0"/>
        <w:mirrorIndents/>
        <w:jc w:val="both"/>
        <w:rPr>
          <w:rFonts w:eastAsia="Calibri"/>
          <w:sz w:val="24"/>
          <w:szCs w:val="24"/>
          <w:lang w:val="bg-BG"/>
        </w:rPr>
      </w:pPr>
      <w:r w:rsidRPr="0076232E">
        <w:rPr>
          <w:rFonts w:eastAsia="Calibri"/>
          <w:b/>
          <w:caps/>
          <w:sz w:val="24"/>
          <w:szCs w:val="24"/>
          <w:lang w:val="bg-BG"/>
        </w:rPr>
        <w:t xml:space="preserve">измерване на крайния резултат </w:t>
      </w:r>
    </w:p>
    <w:p w14:paraId="27C5FF27"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 xml:space="preserve">Разработени са и се прилагат критерии и медико-статистически показатели за извършване на периодичен анализ и оценка на резултатите от дейността на общинските лечебни заведения за болнична помощ. </w:t>
      </w:r>
    </w:p>
    <w:p w14:paraId="71DA4738" w14:textId="77777777" w:rsidR="00E352DD" w:rsidRPr="0076232E" w:rsidRDefault="00E352DD" w:rsidP="00E352DD">
      <w:pPr>
        <w:spacing w:before="120" w:line="240" w:lineRule="auto"/>
        <w:mirrorIndents/>
        <w:rPr>
          <w:rFonts w:eastAsia="Calibri"/>
          <w:b/>
          <w:i/>
          <w:caps/>
          <w:sz w:val="24"/>
          <w:szCs w:val="24"/>
          <w:lang w:val="bg-BG"/>
        </w:rPr>
      </w:pPr>
    </w:p>
    <w:p w14:paraId="5DEB1731"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b/>
          <w:i/>
          <w:caps/>
          <w:sz w:val="24"/>
          <w:szCs w:val="24"/>
          <w:lang w:val="bg-BG"/>
        </w:rPr>
        <w:t>ІV.  цена на подпрограмата</w:t>
      </w:r>
    </w:p>
    <w:p w14:paraId="1EE5A9B7"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Общата стойност на подпрограмата за периода 2021 г. е 10</w:t>
      </w:r>
      <w:r>
        <w:rPr>
          <w:rFonts w:eastAsia="Calibri"/>
          <w:sz w:val="24"/>
          <w:szCs w:val="24"/>
          <w:lang w:val="bg-BG"/>
        </w:rPr>
        <w:t>,5 милиона</w:t>
      </w:r>
      <w:r w:rsidRPr="0076232E">
        <w:rPr>
          <w:rFonts w:eastAsia="Calibri"/>
          <w:sz w:val="24"/>
          <w:szCs w:val="24"/>
          <w:lang w:val="bg-BG"/>
        </w:rPr>
        <w:t xml:space="preserve"> лева.</w:t>
      </w:r>
    </w:p>
    <w:p w14:paraId="6BAC8F12" w14:textId="77777777" w:rsidR="00E352DD" w:rsidRPr="0076232E" w:rsidRDefault="00E352DD" w:rsidP="00E352DD">
      <w:pPr>
        <w:spacing w:before="120" w:line="240" w:lineRule="auto"/>
        <w:mirrorIndents/>
        <w:rPr>
          <w:rFonts w:eastAsia="Calibri"/>
          <w:b/>
          <w:i/>
          <w:caps/>
          <w:sz w:val="24"/>
          <w:szCs w:val="24"/>
          <w:lang w:val="bg-BG"/>
        </w:rPr>
      </w:pPr>
    </w:p>
    <w:p w14:paraId="55F98B37" w14:textId="77777777" w:rsidR="00E352DD" w:rsidRDefault="00E352DD" w:rsidP="00E352DD">
      <w:pPr>
        <w:spacing w:before="120" w:line="240" w:lineRule="auto"/>
        <w:mirrorIndents/>
        <w:rPr>
          <w:rFonts w:eastAsia="Calibri"/>
          <w:b/>
          <w:i/>
          <w:caps/>
          <w:sz w:val="24"/>
          <w:szCs w:val="24"/>
          <w:lang w:val="bg-BG"/>
        </w:rPr>
      </w:pPr>
      <w:r w:rsidRPr="0076232E">
        <w:rPr>
          <w:rFonts w:eastAsia="Calibri"/>
          <w:b/>
          <w:i/>
          <w:caps/>
          <w:sz w:val="24"/>
          <w:szCs w:val="24"/>
          <w:lang w:val="bg-BG"/>
        </w:rPr>
        <w:t>V. общински лечебни заведения, участващи в програмата:</w:t>
      </w:r>
    </w:p>
    <w:p w14:paraId="615EA98D" w14:textId="77777777" w:rsidR="00E352DD" w:rsidRPr="008A6E31" w:rsidRDefault="00E352DD" w:rsidP="00E352DD">
      <w:pPr>
        <w:spacing w:before="120" w:line="240" w:lineRule="auto"/>
        <w:mirrorIndents/>
        <w:rPr>
          <w:rFonts w:eastAsia="Calibri"/>
          <w:sz w:val="24"/>
          <w:szCs w:val="24"/>
          <w:lang w:val="bg-BG"/>
        </w:rPr>
      </w:pPr>
      <w:r>
        <w:rPr>
          <w:rFonts w:eastAsia="Calibri"/>
          <w:sz w:val="24"/>
          <w:szCs w:val="24"/>
          <w:lang w:val="bg-BG"/>
        </w:rPr>
        <w:t>•</w:t>
      </w:r>
      <w:r>
        <w:rPr>
          <w:rFonts w:eastAsia="Calibri"/>
          <w:sz w:val="24"/>
          <w:szCs w:val="24"/>
          <w:lang w:val="bg-BG"/>
        </w:rPr>
        <w:tab/>
        <w:t>"І-ВА МБАЛ - София</w:t>
      </w:r>
      <w:r w:rsidRPr="008A6E31">
        <w:rPr>
          <w:rFonts w:eastAsia="Calibri"/>
          <w:sz w:val="24"/>
          <w:szCs w:val="24"/>
          <w:lang w:val="bg-BG"/>
        </w:rPr>
        <w:t>" ЕАД</w:t>
      </w:r>
    </w:p>
    <w:p w14:paraId="079B67A2"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"ІІ-РА МБАЛ - </w:t>
      </w:r>
      <w:r>
        <w:rPr>
          <w:rFonts w:eastAsia="Calibri"/>
          <w:sz w:val="24"/>
          <w:szCs w:val="24"/>
          <w:lang w:val="bg-BG"/>
        </w:rPr>
        <w:t>София</w:t>
      </w:r>
      <w:r w:rsidRPr="008A6E31">
        <w:rPr>
          <w:rFonts w:eastAsia="Calibri"/>
          <w:sz w:val="24"/>
          <w:szCs w:val="24"/>
          <w:lang w:val="bg-BG"/>
        </w:rPr>
        <w:t>" ЕАД</w:t>
      </w:r>
    </w:p>
    <w:p w14:paraId="6FE36A6B"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"ІV-ТА МБАЛ - </w:t>
      </w:r>
      <w:r>
        <w:rPr>
          <w:rFonts w:eastAsia="Calibri"/>
          <w:sz w:val="24"/>
          <w:szCs w:val="24"/>
          <w:lang w:val="bg-BG"/>
        </w:rPr>
        <w:t>София</w:t>
      </w:r>
      <w:r w:rsidRPr="008A6E31">
        <w:rPr>
          <w:rFonts w:eastAsia="Calibri"/>
          <w:sz w:val="24"/>
          <w:szCs w:val="24"/>
          <w:lang w:val="bg-BG"/>
        </w:rPr>
        <w:t xml:space="preserve"> " ЕАД</w:t>
      </w:r>
    </w:p>
    <w:p w14:paraId="02769066"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"V-ТА МБАЛ - </w:t>
      </w:r>
      <w:r>
        <w:rPr>
          <w:rFonts w:eastAsia="Calibri"/>
          <w:sz w:val="24"/>
          <w:szCs w:val="24"/>
          <w:lang w:val="bg-BG"/>
        </w:rPr>
        <w:t>София</w:t>
      </w:r>
      <w:r w:rsidRPr="008A6E31">
        <w:rPr>
          <w:rFonts w:eastAsia="Calibri"/>
          <w:sz w:val="24"/>
          <w:szCs w:val="24"/>
          <w:lang w:val="bg-BG"/>
        </w:rPr>
        <w:t xml:space="preserve"> " ЕАД</w:t>
      </w:r>
    </w:p>
    <w:p w14:paraId="198E408B"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"І-ВА САГБАЛ - СВ. </w:t>
      </w:r>
      <w:r>
        <w:rPr>
          <w:rFonts w:eastAsia="Calibri"/>
          <w:sz w:val="24"/>
          <w:szCs w:val="24"/>
          <w:lang w:val="bg-BG"/>
        </w:rPr>
        <w:t>София</w:t>
      </w:r>
      <w:r w:rsidRPr="008A6E31">
        <w:rPr>
          <w:rFonts w:eastAsia="Calibri"/>
          <w:sz w:val="24"/>
          <w:szCs w:val="24"/>
          <w:lang w:val="bg-BG"/>
        </w:rPr>
        <w:t xml:space="preserve"> "  ЕАД</w:t>
      </w:r>
    </w:p>
    <w:p w14:paraId="014EE3C7"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"ІІ-РА САГБАЛ - </w:t>
      </w:r>
      <w:r>
        <w:rPr>
          <w:rFonts w:eastAsia="Calibri"/>
          <w:sz w:val="24"/>
          <w:szCs w:val="24"/>
          <w:lang w:val="bg-BG"/>
        </w:rPr>
        <w:t>Шейново</w:t>
      </w:r>
      <w:r w:rsidRPr="008A6E31">
        <w:rPr>
          <w:rFonts w:eastAsia="Calibri"/>
          <w:sz w:val="24"/>
          <w:szCs w:val="24"/>
          <w:lang w:val="bg-BG"/>
        </w:rPr>
        <w:t>"  ЕАД</w:t>
      </w:r>
    </w:p>
    <w:p w14:paraId="4A84F427"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"Ц</w:t>
      </w:r>
      <w:r>
        <w:rPr>
          <w:rFonts w:eastAsia="Calibri"/>
          <w:sz w:val="24"/>
          <w:szCs w:val="24"/>
          <w:lang w:val="bg-BG"/>
        </w:rPr>
        <w:t xml:space="preserve">ентър за психично здраве – София-град </w:t>
      </w:r>
      <w:r w:rsidRPr="008A6E31">
        <w:rPr>
          <w:rFonts w:eastAsia="Calibri"/>
          <w:sz w:val="24"/>
          <w:szCs w:val="24"/>
          <w:lang w:val="bg-BG"/>
        </w:rPr>
        <w:t>" ЕООД</w:t>
      </w:r>
    </w:p>
    <w:p w14:paraId="6997521C"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"Ц</w:t>
      </w:r>
      <w:r>
        <w:rPr>
          <w:rFonts w:eastAsia="Calibri"/>
          <w:sz w:val="24"/>
          <w:szCs w:val="24"/>
          <w:lang w:val="bg-BG"/>
        </w:rPr>
        <w:t>ентър за кожно-венерически заболявания – София-град</w:t>
      </w:r>
      <w:r w:rsidRPr="008A6E31">
        <w:rPr>
          <w:rFonts w:eastAsia="Calibri"/>
          <w:sz w:val="24"/>
          <w:szCs w:val="24"/>
          <w:lang w:val="bg-BG"/>
        </w:rPr>
        <w:t xml:space="preserve"> " ЕООД</w:t>
      </w:r>
    </w:p>
    <w:p w14:paraId="6D35EE96"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"СБАЛОЗ - </w:t>
      </w:r>
      <w:r>
        <w:rPr>
          <w:rFonts w:eastAsia="Calibri"/>
          <w:sz w:val="24"/>
          <w:szCs w:val="24"/>
          <w:lang w:val="bg-BG"/>
        </w:rPr>
        <w:t>София</w:t>
      </w:r>
      <w:r w:rsidRPr="008A6E31">
        <w:rPr>
          <w:rFonts w:eastAsia="Calibri"/>
          <w:sz w:val="24"/>
          <w:szCs w:val="24"/>
          <w:lang w:val="bg-BG"/>
        </w:rPr>
        <w:t xml:space="preserve"> </w:t>
      </w:r>
      <w:r>
        <w:rPr>
          <w:rFonts w:eastAsia="Calibri"/>
          <w:sz w:val="24"/>
          <w:szCs w:val="24"/>
          <w:lang w:val="bg-BG"/>
        </w:rPr>
        <w:t>град</w:t>
      </w:r>
      <w:r w:rsidRPr="008A6E31">
        <w:rPr>
          <w:rFonts w:eastAsia="Calibri"/>
          <w:sz w:val="24"/>
          <w:szCs w:val="24"/>
          <w:lang w:val="bg-BG"/>
        </w:rPr>
        <w:t>" ЕООД</w:t>
      </w:r>
    </w:p>
    <w:p w14:paraId="490ED858"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"СБПЛР - П</w:t>
      </w:r>
      <w:r>
        <w:rPr>
          <w:rFonts w:eastAsia="Calibri"/>
          <w:sz w:val="24"/>
          <w:szCs w:val="24"/>
          <w:lang w:val="bg-BG"/>
        </w:rPr>
        <w:t>анчерево</w:t>
      </w:r>
      <w:r w:rsidRPr="008A6E31">
        <w:rPr>
          <w:rFonts w:eastAsia="Calibri"/>
          <w:sz w:val="24"/>
          <w:szCs w:val="24"/>
          <w:lang w:val="bg-BG"/>
        </w:rPr>
        <w:t>" ЕООД</w:t>
      </w:r>
    </w:p>
    <w:p w14:paraId="598E7884"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lastRenderedPageBreak/>
        <w:t>•</w:t>
      </w:r>
      <w:r w:rsidRPr="008A6E31">
        <w:rPr>
          <w:rFonts w:eastAsia="Calibri"/>
          <w:sz w:val="24"/>
          <w:szCs w:val="24"/>
          <w:lang w:val="bg-BG"/>
        </w:rPr>
        <w:tab/>
        <w:t>"СБПЛР - Б</w:t>
      </w:r>
      <w:r>
        <w:rPr>
          <w:rFonts w:eastAsia="Calibri"/>
          <w:sz w:val="24"/>
          <w:szCs w:val="24"/>
          <w:lang w:val="bg-BG"/>
        </w:rPr>
        <w:t>ухово</w:t>
      </w:r>
      <w:r w:rsidRPr="008A6E31">
        <w:rPr>
          <w:rFonts w:eastAsia="Calibri"/>
          <w:sz w:val="24"/>
          <w:szCs w:val="24"/>
          <w:lang w:val="bg-BG"/>
        </w:rPr>
        <w:t>" ЕООД</w:t>
      </w:r>
    </w:p>
    <w:p w14:paraId="49B243E8" w14:textId="77777777" w:rsidR="00E352DD" w:rsidRPr="008A6E31" w:rsidRDefault="00E352DD" w:rsidP="00E352DD">
      <w:pPr>
        <w:spacing w:before="120" w:line="240" w:lineRule="auto"/>
        <w:mirrorIndents/>
        <w:rPr>
          <w:rFonts w:eastAsia="Calibri"/>
          <w:sz w:val="24"/>
          <w:szCs w:val="24"/>
          <w:lang w:val="bg-BG"/>
        </w:rPr>
      </w:pPr>
      <w:r>
        <w:rPr>
          <w:rFonts w:eastAsia="Calibri"/>
          <w:sz w:val="24"/>
          <w:szCs w:val="24"/>
          <w:lang w:val="bg-BG"/>
        </w:rPr>
        <w:t>•</w:t>
      </w:r>
      <w:r>
        <w:rPr>
          <w:rFonts w:eastAsia="Calibri"/>
          <w:sz w:val="24"/>
          <w:szCs w:val="24"/>
          <w:lang w:val="bg-BG"/>
        </w:rPr>
        <w:tab/>
        <w:t>"СБРДЦП - Св</w:t>
      </w:r>
      <w:r w:rsidRPr="008A6E31">
        <w:rPr>
          <w:rFonts w:eastAsia="Calibri"/>
          <w:sz w:val="24"/>
          <w:szCs w:val="24"/>
          <w:lang w:val="bg-BG"/>
        </w:rPr>
        <w:t xml:space="preserve">. </w:t>
      </w:r>
      <w:r>
        <w:rPr>
          <w:rFonts w:eastAsia="Calibri"/>
          <w:sz w:val="24"/>
          <w:szCs w:val="24"/>
          <w:lang w:val="bg-BG"/>
        </w:rPr>
        <w:t>София</w:t>
      </w:r>
      <w:r w:rsidRPr="008A6E31">
        <w:rPr>
          <w:rFonts w:eastAsia="Calibri"/>
          <w:sz w:val="24"/>
          <w:szCs w:val="24"/>
          <w:lang w:val="bg-BG"/>
        </w:rPr>
        <w:t xml:space="preserve"> " ЕООД</w:t>
      </w:r>
    </w:p>
    <w:p w14:paraId="56E400F5" w14:textId="77777777" w:rsidR="00E352DD" w:rsidRPr="008A6E31" w:rsidRDefault="00E352DD" w:rsidP="00E352DD">
      <w:pPr>
        <w:spacing w:before="120" w:line="240" w:lineRule="auto"/>
        <w:mirrorIndents/>
        <w:rPr>
          <w:rFonts w:eastAsia="Calibri"/>
          <w:sz w:val="24"/>
          <w:szCs w:val="24"/>
          <w:lang w:val="bg-BG"/>
        </w:rPr>
      </w:pPr>
      <w:r w:rsidRPr="008A6E31">
        <w:rPr>
          <w:rFonts w:eastAsia="Calibri"/>
          <w:sz w:val="24"/>
          <w:szCs w:val="24"/>
          <w:lang w:val="bg-BG"/>
        </w:rPr>
        <w:t>•</w:t>
      </w:r>
      <w:r w:rsidRPr="008A6E31">
        <w:rPr>
          <w:rFonts w:eastAsia="Calibri"/>
          <w:sz w:val="24"/>
          <w:szCs w:val="24"/>
          <w:lang w:val="bg-BG"/>
        </w:rPr>
        <w:tab/>
        <w:t xml:space="preserve">"СБПЛР - </w:t>
      </w:r>
      <w:r>
        <w:rPr>
          <w:rFonts w:eastAsia="Calibri"/>
          <w:sz w:val="24"/>
          <w:szCs w:val="24"/>
          <w:lang w:val="bg-BG"/>
        </w:rPr>
        <w:t>Кремиковци</w:t>
      </w:r>
      <w:r w:rsidRPr="008A6E31">
        <w:rPr>
          <w:rFonts w:eastAsia="Calibri"/>
          <w:sz w:val="24"/>
          <w:szCs w:val="24"/>
          <w:lang w:val="bg-BG"/>
        </w:rPr>
        <w:t>" ЕООД</w:t>
      </w:r>
    </w:p>
    <w:p w14:paraId="0405A381" w14:textId="77777777" w:rsidR="00E352DD" w:rsidRPr="008A6E31" w:rsidRDefault="00E352DD" w:rsidP="00E352DD">
      <w:pPr>
        <w:spacing w:before="120" w:line="240" w:lineRule="auto"/>
        <w:mirrorIndents/>
        <w:rPr>
          <w:rFonts w:eastAsia="Calibri"/>
          <w:caps/>
          <w:sz w:val="24"/>
          <w:szCs w:val="24"/>
          <w:lang w:val="bg-BG"/>
        </w:rPr>
      </w:pPr>
    </w:p>
    <w:p w14:paraId="675E3FF0" w14:textId="77777777" w:rsidR="00E352DD" w:rsidRPr="0076232E" w:rsidRDefault="00E352DD" w:rsidP="00E352DD">
      <w:pPr>
        <w:keepNext/>
        <w:spacing w:before="120" w:line="240" w:lineRule="auto"/>
        <w:mirrorIndents/>
        <w:outlineLvl w:val="1"/>
        <w:rPr>
          <w:rFonts w:eastAsia="Calibri"/>
          <w:b/>
          <w:bCs/>
          <w:i/>
          <w:iCs/>
          <w:caps/>
          <w:sz w:val="24"/>
          <w:szCs w:val="24"/>
          <w:lang w:val="x-none"/>
        </w:rPr>
      </w:pPr>
      <w:bookmarkStart w:id="165" w:name="_Toc471374934"/>
      <w:bookmarkStart w:id="166" w:name="_Toc471601454"/>
      <w:r w:rsidRPr="0076232E">
        <w:rPr>
          <w:rFonts w:eastAsia="Calibri"/>
          <w:b/>
          <w:bCs/>
          <w:i/>
          <w:iCs/>
          <w:caps/>
          <w:sz w:val="24"/>
          <w:szCs w:val="24"/>
          <w:lang w:val="bg-BG"/>
        </w:rPr>
        <w:t xml:space="preserve">VІ. </w:t>
      </w:r>
      <w:r w:rsidRPr="0076232E">
        <w:rPr>
          <w:rFonts w:eastAsia="Calibri"/>
          <w:b/>
          <w:bCs/>
          <w:i/>
          <w:iCs/>
          <w:caps/>
          <w:sz w:val="24"/>
          <w:szCs w:val="24"/>
          <w:lang w:val="x-none"/>
        </w:rPr>
        <w:t xml:space="preserve">Медицинските дейности, за които ще бъдат финансирани </w:t>
      </w:r>
      <w:r w:rsidRPr="0076232E">
        <w:rPr>
          <w:rFonts w:eastAsia="Calibri"/>
          <w:b/>
          <w:bCs/>
          <w:i/>
          <w:iCs/>
          <w:caps/>
          <w:sz w:val="24"/>
          <w:szCs w:val="24"/>
          <w:lang w:val="bg-BG"/>
        </w:rPr>
        <w:t>участниците в програмата</w:t>
      </w:r>
      <w:r w:rsidRPr="0076232E">
        <w:rPr>
          <w:rFonts w:eastAsia="Calibri"/>
          <w:b/>
          <w:bCs/>
          <w:i/>
          <w:iCs/>
          <w:caps/>
          <w:sz w:val="24"/>
          <w:szCs w:val="24"/>
          <w:lang w:val="x-none"/>
        </w:rPr>
        <w:t>:</w:t>
      </w:r>
      <w:bookmarkEnd w:id="165"/>
      <w:bookmarkEnd w:id="166"/>
    </w:p>
    <w:p w14:paraId="25C7BD3F" w14:textId="77777777" w:rsidR="00E352DD" w:rsidRPr="0076232E" w:rsidRDefault="00E352DD" w:rsidP="00E352DD">
      <w:pPr>
        <w:numPr>
          <w:ilvl w:val="0"/>
          <w:numId w:val="50"/>
        </w:numPr>
        <w:autoSpaceDE w:val="0"/>
        <w:autoSpaceDN w:val="0"/>
        <w:adjustRightInd w:val="0"/>
        <w:spacing w:before="120" w:after="0" w:line="240" w:lineRule="auto"/>
        <w:mirrorIndents/>
        <w:rPr>
          <w:b/>
          <w:sz w:val="24"/>
          <w:szCs w:val="24"/>
          <w:lang w:val="bg-BG"/>
        </w:rPr>
      </w:pPr>
      <w:r w:rsidRPr="0076232E">
        <w:rPr>
          <w:sz w:val="24"/>
          <w:szCs w:val="24"/>
          <w:lang w:val="bg-BG"/>
        </w:rPr>
        <w:t>Болнично лечение на социално слаби лица с прекъснати здравноосигурителни права, наложено от спешни състояния, определени в чл. 99 от Закона за здравето;</w:t>
      </w:r>
    </w:p>
    <w:p w14:paraId="7AB3D24E" w14:textId="77777777" w:rsidR="00E352DD" w:rsidRPr="0076232E" w:rsidRDefault="00E352DD" w:rsidP="00E352DD">
      <w:pPr>
        <w:numPr>
          <w:ilvl w:val="0"/>
          <w:numId w:val="50"/>
        </w:numPr>
        <w:autoSpaceDE w:val="0"/>
        <w:autoSpaceDN w:val="0"/>
        <w:adjustRightInd w:val="0"/>
        <w:spacing w:before="120" w:after="0" w:line="240" w:lineRule="auto"/>
        <w:mirrorIndents/>
        <w:rPr>
          <w:sz w:val="24"/>
          <w:szCs w:val="24"/>
          <w:lang w:val="bg-BG"/>
        </w:rPr>
      </w:pPr>
      <w:r w:rsidRPr="0076232E">
        <w:rPr>
          <w:sz w:val="24"/>
          <w:szCs w:val="24"/>
          <w:lang w:val="bg-BG"/>
        </w:rPr>
        <w:t xml:space="preserve"> Болнично лечение на пациенти с диагнози извън Клинични пътеки (КП) и Амбулаторни процедури (АПр.) на Националния рамков договор; </w:t>
      </w:r>
    </w:p>
    <w:p w14:paraId="5F97F1EB" w14:textId="77777777" w:rsidR="00E352DD" w:rsidRPr="0076232E" w:rsidRDefault="00E352DD" w:rsidP="00E352DD">
      <w:pPr>
        <w:numPr>
          <w:ilvl w:val="0"/>
          <w:numId w:val="50"/>
        </w:numPr>
        <w:spacing w:before="120" w:after="0" w:line="240" w:lineRule="auto"/>
        <w:mirrorIndents/>
        <w:rPr>
          <w:rFonts w:eastAsia="Calibri"/>
          <w:sz w:val="24"/>
          <w:szCs w:val="24"/>
          <w:lang w:val="bg-BG"/>
        </w:rPr>
      </w:pPr>
      <w:r w:rsidRPr="0076232E">
        <w:rPr>
          <w:rFonts w:eastAsia="Calibri"/>
          <w:sz w:val="24"/>
          <w:szCs w:val="24"/>
          <w:lang w:val="bg-BG"/>
        </w:rPr>
        <w:t xml:space="preserve">Долекуване и рехабилитация на възрастни, както и на деца с церебрална парализа и кърмачета с ЦКС (централно координационно смущение) от гр. </w:t>
      </w:r>
      <w:r>
        <w:rPr>
          <w:rFonts w:eastAsia="Calibri"/>
          <w:sz w:val="24"/>
          <w:szCs w:val="24"/>
          <w:lang w:val="bg-BG"/>
        </w:rPr>
        <w:t>София</w:t>
      </w:r>
      <w:r w:rsidRPr="0076232E">
        <w:rPr>
          <w:rFonts w:eastAsia="Calibri"/>
          <w:sz w:val="24"/>
          <w:szCs w:val="24"/>
          <w:lang w:val="bg-BG"/>
        </w:rPr>
        <w:t>;</w:t>
      </w:r>
    </w:p>
    <w:p w14:paraId="6328C0AD" w14:textId="77777777" w:rsidR="00E352DD" w:rsidRPr="0076232E" w:rsidRDefault="00E352DD" w:rsidP="00E352DD">
      <w:pPr>
        <w:numPr>
          <w:ilvl w:val="0"/>
          <w:numId w:val="50"/>
        </w:numPr>
        <w:autoSpaceDE w:val="0"/>
        <w:autoSpaceDN w:val="0"/>
        <w:adjustRightInd w:val="0"/>
        <w:spacing w:before="120" w:after="0" w:line="240" w:lineRule="auto"/>
        <w:mirrorIndents/>
        <w:rPr>
          <w:rFonts w:eastAsia="Calibri"/>
          <w:bCs/>
          <w:spacing w:val="10"/>
          <w:sz w:val="24"/>
          <w:szCs w:val="24"/>
          <w:lang w:val="ru-RU"/>
        </w:rPr>
      </w:pPr>
      <w:r w:rsidRPr="0076232E">
        <w:rPr>
          <w:rFonts w:eastAsia="Calibri"/>
          <w:sz w:val="24"/>
          <w:szCs w:val="24"/>
          <w:lang w:val="bg-BG"/>
        </w:rPr>
        <w:t>Интензивно лечение на пациенти в критично състояние, неотговарящи на критериите за включване в КП;</w:t>
      </w:r>
    </w:p>
    <w:p w14:paraId="2D7493CD" w14:textId="77777777" w:rsidR="00E352DD" w:rsidRPr="0076232E" w:rsidRDefault="00E352DD" w:rsidP="00E352DD">
      <w:pPr>
        <w:numPr>
          <w:ilvl w:val="0"/>
          <w:numId w:val="50"/>
        </w:numPr>
        <w:autoSpaceDE w:val="0"/>
        <w:autoSpaceDN w:val="0"/>
        <w:adjustRightInd w:val="0"/>
        <w:spacing w:before="120" w:after="0" w:line="240" w:lineRule="auto"/>
        <w:mirrorIndents/>
        <w:rPr>
          <w:rFonts w:eastAsia="Calibri"/>
          <w:bCs/>
          <w:spacing w:val="10"/>
          <w:sz w:val="24"/>
          <w:szCs w:val="24"/>
          <w:lang w:val="ru-RU"/>
        </w:rPr>
      </w:pPr>
      <w:r w:rsidRPr="0076232E">
        <w:rPr>
          <w:rFonts w:eastAsia="Calibri"/>
          <w:sz w:val="24"/>
          <w:szCs w:val="24"/>
          <w:lang w:val="bg-BG"/>
        </w:rPr>
        <w:t xml:space="preserve"> Профилактични прегледи на лица в социални заведения, държавни и общински училища и детски заведения. Диагностични изследвания при пациенти с прекъснати здравноосигурителни права, инвалиди и деца, отглеждани в приемни семейства;</w:t>
      </w:r>
    </w:p>
    <w:p w14:paraId="6C56E8FA" w14:textId="77777777" w:rsidR="00E352DD" w:rsidRPr="0076232E" w:rsidRDefault="00E352DD" w:rsidP="00E352DD">
      <w:pPr>
        <w:numPr>
          <w:ilvl w:val="0"/>
          <w:numId w:val="50"/>
        </w:numPr>
        <w:autoSpaceDE w:val="0"/>
        <w:autoSpaceDN w:val="0"/>
        <w:adjustRightInd w:val="0"/>
        <w:spacing w:before="120" w:after="0" w:line="240" w:lineRule="auto"/>
        <w:mirrorIndents/>
        <w:rPr>
          <w:rFonts w:eastAsia="Calibri"/>
          <w:sz w:val="24"/>
          <w:szCs w:val="24"/>
          <w:lang w:val="bg-BG"/>
        </w:rPr>
      </w:pPr>
      <w:r w:rsidRPr="0076232E">
        <w:rPr>
          <w:rFonts w:eastAsia="Calibri"/>
          <w:sz w:val="24"/>
          <w:szCs w:val="24"/>
          <w:lang w:val="bg-BG"/>
        </w:rPr>
        <w:t>Консултативно-диагностични прегледи на недиспансеризирани лица със съмнение за онкологично заболяване, ендоскопски изследвания при диспансеризирани</w:t>
      </w:r>
      <w:r w:rsidRPr="0076232E">
        <w:rPr>
          <w:rFonts w:eastAsia="Calibri"/>
          <w:sz w:val="24"/>
          <w:szCs w:val="24"/>
          <w:lang w:val="ru-RU"/>
        </w:rPr>
        <w:t xml:space="preserve"> </w:t>
      </w:r>
      <w:r w:rsidRPr="0076232E">
        <w:rPr>
          <w:rFonts w:eastAsia="Calibri"/>
          <w:sz w:val="24"/>
          <w:szCs w:val="24"/>
          <w:lang w:val="bg-BG"/>
        </w:rPr>
        <w:t>лица със злокачествени заболяващия, консултации на пациенти с болков синдром, назначаване и изписване на обезболяваща терапия, извън алгоритъма на Наредба № 39/1004 г. на Министерство на здравеопазването.</w:t>
      </w:r>
    </w:p>
    <w:p w14:paraId="5D349FED" w14:textId="77777777" w:rsidR="00E352DD" w:rsidRPr="0076232E" w:rsidRDefault="00E352DD" w:rsidP="00E352DD">
      <w:pPr>
        <w:numPr>
          <w:ilvl w:val="0"/>
          <w:numId w:val="50"/>
        </w:numPr>
        <w:tabs>
          <w:tab w:val="left" w:pos="426"/>
        </w:tabs>
        <w:autoSpaceDN w:val="0"/>
        <w:spacing w:before="120" w:after="0" w:line="240" w:lineRule="auto"/>
        <w:mirrorIndents/>
        <w:rPr>
          <w:rFonts w:eastAsia="Calibri"/>
          <w:sz w:val="24"/>
          <w:szCs w:val="24"/>
          <w:lang w:val="bg-BG"/>
        </w:rPr>
      </w:pPr>
      <w:r w:rsidRPr="0076232E">
        <w:rPr>
          <w:rFonts w:eastAsia="Calibri"/>
          <w:bCs/>
          <w:sz w:val="24"/>
          <w:szCs w:val="24"/>
          <w:lang w:val="bg-BG"/>
        </w:rPr>
        <w:t>Осигуряване на лекар за оказване на медицинска помощ на пребиваващите в Кризисния център за настаняване на бездомни лица за периода на функционирането му, по месечен  график.</w:t>
      </w:r>
    </w:p>
    <w:p w14:paraId="46E83086" w14:textId="77777777" w:rsidR="00E352DD" w:rsidRPr="0076232E" w:rsidRDefault="00E352DD" w:rsidP="00E352DD">
      <w:pPr>
        <w:spacing w:before="120" w:line="240" w:lineRule="auto"/>
        <w:mirrorIndents/>
        <w:rPr>
          <w:rFonts w:eastAsia="Calibri"/>
          <w:sz w:val="24"/>
          <w:szCs w:val="24"/>
          <w:lang w:val="bg-BG"/>
        </w:rPr>
      </w:pPr>
    </w:p>
    <w:p w14:paraId="549A4DF5"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b/>
          <w:i/>
          <w:caps/>
          <w:sz w:val="24"/>
          <w:szCs w:val="24"/>
          <w:lang w:val="bg-BG"/>
        </w:rPr>
        <w:t>VІІ. консолидиране и описание</w:t>
      </w:r>
    </w:p>
    <w:p w14:paraId="3EADA292"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b/>
          <w:bCs/>
          <w:kern w:val="32"/>
          <w:sz w:val="24"/>
          <w:szCs w:val="24"/>
          <w:lang w:val="bg-BG"/>
        </w:rPr>
        <w:t xml:space="preserve">1. Сключване на договор с общинските лечебни заведения за болнична помощ за </w:t>
      </w:r>
      <w:r w:rsidRPr="0076232E">
        <w:rPr>
          <w:rFonts w:eastAsia="Calibri"/>
          <w:b/>
          <w:bCs/>
          <w:kern w:val="32"/>
          <w:sz w:val="24"/>
          <w:szCs w:val="24"/>
          <w:lang w:val="bg-BG" w:eastAsia="en-US"/>
        </w:rPr>
        <w:t>извършване на медицински дейности извън обхвата на задължителното здравно осигуряване</w:t>
      </w:r>
    </w:p>
    <w:p w14:paraId="26428A77" w14:textId="77777777" w:rsidR="00E352DD" w:rsidRPr="0076232E" w:rsidRDefault="00E352DD" w:rsidP="00E352DD">
      <w:pPr>
        <w:keepNext/>
        <w:spacing w:before="120" w:line="240" w:lineRule="auto"/>
        <w:mirrorIndents/>
        <w:outlineLvl w:val="0"/>
        <w:rPr>
          <w:rFonts w:eastAsia="Calibri"/>
          <w:bCs/>
          <w:caps/>
          <w:kern w:val="32"/>
          <w:sz w:val="24"/>
          <w:szCs w:val="24"/>
          <w:lang w:val="bg-BG"/>
        </w:rPr>
      </w:pPr>
      <w:bookmarkStart w:id="167" w:name="_Toc471374935"/>
      <w:bookmarkStart w:id="168" w:name="_Toc471601455"/>
      <w:r w:rsidRPr="0076232E">
        <w:rPr>
          <w:rFonts w:eastAsia="Calibri"/>
          <w:bCs/>
          <w:kern w:val="32"/>
          <w:sz w:val="24"/>
          <w:szCs w:val="24"/>
          <w:lang w:val="bg-BG"/>
        </w:rPr>
        <w:t>Критериите и редът за</w:t>
      </w:r>
      <w:r w:rsidRPr="0076232E">
        <w:rPr>
          <w:rFonts w:eastAsia="Calibri"/>
          <w:bCs/>
          <w:kern w:val="32"/>
          <w:sz w:val="24"/>
          <w:szCs w:val="24"/>
          <w:lang w:val="ru-RU"/>
        </w:rPr>
        <w:t xml:space="preserve"> </w:t>
      </w:r>
      <w:r w:rsidRPr="0076232E">
        <w:rPr>
          <w:rFonts w:eastAsia="Calibri"/>
          <w:bCs/>
          <w:kern w:val="32"/>
          <w:sz w:val="24"/>
          <w:szCs w:val="24"/>
          <w:lang w:val="bg-BG"/>
        </w:rPr>
        <w:t xml:space="preserve">финансиране на общинските лечебни заведения за болнична помощ се определят въз основа на едногодишни договори за дейности, извън финансираните от </w:t>
      </w:r>
      <w:r w:rsidRPr="0076232E">
        <w:rPr>
          <w:rFonts w:eastAsia="Calibri"/>
          <w:bCs/>
          <w:kern w:val="32"/>
          <w:sz w:val="24"/>
          <w:szCs w:val="24"/>
          <w:lang w:val="bg-BG"/>
        </w:rPr>
        <w:lastRenderedPageBreak/>
        <w:t>държавния бюджет или от бюджета на Националната здравноосигурителна каса</w:t>
      </w:r>
      <w:r w:rsidRPr="0076232E">
        <w:rPr>
          <w:rFonts w:eastAsia="Calibri"/>
          <w:bCs/>
          <w:caps/>
          <w:kern w:val="32"/>
          <w:sz w:val="24"/>
          <w:szCs w:val="24"/>
          <w:lang w:val="ru-RU"/>
        </w:rPr>
        <w:t>,</w:t>
      </w:r>
      <w:r w:rsidRPr="0076232E">
        <w:rPr>
          <w:rFonts w:eastAsia="Calibri"/>
          <w:bCs/>
          <w:kern w:val="32"/>
          <w:sz w:val="24"/>
          <w:szCs w:val="24"/>
          <w:lang w:val="bg-BG"/>
        </w:rPr>
        <w:t xml:space="preserve"> което е предвидено със закон или друг нормативен акт.</w:t>
      </w:r>
      <w:bookmarkEnd w:id="167"/>
      <w:bookmarkEnd w:id="168"/>
    </w:p>
    <w:p w14:paraId="61C6BF62" w14:textId="77777777" w:rsidR="00E352DD" w:rsidRPr="0076232E" w:rsidRDefault="00E352DD" w:rsidP="00E352DD">
      <w:pPr>
        <w:spacing w:before="120" w:line="240" w:lineRule="auto"/>
        <w:mirrorIndents/>
        <w:rPr>
          <w:rFonts w:eastAsia="Calibri"/>
          <w:sz w:val="24"/>
          <w:szCs w:val="24"/>
          <w:lang w:val="bg-BG" w:eastAsia="en-US"/>
        </w:rPr>
      </w:pPr>
      <w:r w:rsidRPr="0076232E">
        <w:rPr>
          <w:rFonts w:eastAsia="Calibri"/>
          <w:sz w:val="24"/>
          <w:szCs w:val="24"/>
          <w:lang w:val="bg-BG" w:eastAsia="en-US"/>
        </w:rPr>
        <w:t>Индивидуалният договор за финансиране извършването на медицински дейности извън обхвата на задължителното здравно осигуряване е в съответствие с: чл. 106 Закона за лечебните заведения, чл. 82 и чл. 82”а” от Закон за здравето; Наредба № 49 за основните изисквания, на които трябва да отговарят устройството, дейността и вътрешния ред на лечебните заведения за болнична помощ и домовете за медико-социални грижи на МЗ, в сила от 18.10.2010 г., Наредба за осъществяване правото на достъп до медицинска помощ на МЗ, в</w:t>
      </w:r>
      <w:r w:rsidRPr="0076232E">
        <w:rPr>
          <w:rFonts w:eastAsia="Calibri"/>
          <w:color w:val="000000"/>
          <w:sz w:val="24"/>
          <w:szCs w:val="24"/>
          <w:shd w:val="clear" w:color="auto" w:fill="FEFEFE"/>
          <w:lang w:val="bg-BG"/>
        </w:rPr>
        <w:t xml:space="preserve"> сила от 02.06.2006 г.</w:t>
      </w:r>
    </w:p>
    <w:p w14:paraId="20A90FBC" w14:textId="77777777" w:rsidR="00E352DD" w:rsidRPr="0076232E" w:rsidRDefault="00E352DD" w:rsidP="00E352DD">
      <w:pPr>
        <w:keepNext/>
        <w:spacing w:before="120" w:line="240" w:lineRule="auto"/>
        <w:mirrorIndents/>
        <w:outlineLvl w:val="0"/>
        <w:rPr>
          <w:rFonts w:eastAsia="Calibri"/>
          <w:bCs/>
          <w:kern w:val="32"/>
          <w:sz w:val="24"/>
          <w:szCs w:val="24"/>
          <w:lang w:val="bg-BG"/>
        </w:rPr>
      </w:pPr>
      <w:bookmarkStart w:id="169" w:name="_Toc471374936"/>
      <w:bookmarkStart w:id="170" w:name="_Toc471601456"/>
      <w:r w:rsidRPr="0076232E">
        <w:rPr>
          <w:rFonts w:eastAsia="Calibri"/>
          <w:bCs/>
          <w:kern w:val="32"/>
          <w:sz w:val="24"/>
          <w:szCs w:val="24"/>
          <w:lang w:val="bg-BG"/>
        </w:rPr>
        <w:t>Списък</w:t>
      </w:r>
      <w:r w:rsidRPr="0076232E">
        <w:rPr>
          <w:rFonts w:eastAsia="Calibri"/>
          <w:bCs/>
          <w:caps/>
          <w:kern w:val="32"/>
          <w:sz w:val="24"/>
          <w:szCs w:val="24"/>
          <w:lang w:val="bg-BG"/>
        </w:rPr>
        <w:t xml:space="preserve"> </w:t>
      </w:r>
      <w:r w:rsidRPr="0076232E">
        <w:rPr>
          <w:rFonts w:eastAsia="Calibri"/>
          <w:bCs/>
          <w:kern w:val="32"/>
          <w:sz w:val="24"/>
          <w:szCs w:val="24"/>
          <w:lang w:val="bg-BG"/>
        </w:rPr>
        <w:t>за извършване на определени медицински дейности, стойностите на медицинските услуги и указания за заплащане на медицински дейности извън обхвата на задължителното здравно осигуряване е разписан в Приложение № 1, неразделна част от едногодишните договори за всяко лечебно заведение.</w:t>
      </w:r>
      <w:bookmarkEnd w:id="169"/>
      <w:bookmarkEnd w:id="170"/>
    </w:p>
    <w:p w14:paraId="10CD5FD0" w14:textId="77777777" w:rsidR="00E352DD" w:rsidRPr="0076232E" w:rsidRDefault="00E352DD" w:rsidP="00E352DD">
      <w:pPr>
        <w:keepNext/>
        <w:spacing w:before="120" w:line="240" w:lineRule="auto"/>
        <w:mirrorIndents/>
        <w:outlineLvl w:val="0"/>
        <w:rPr>
          <w:rFonts w:eastAsia="Calibri"/>
          <w:bCs/>
          <w:kern w:val="32"/>
          <w:sz w:val="24"/>
          <w:szCs w:val="24"/>
          <w:lang w:val="bg-BG"/>
        </w:rPr>
      </w:pPr>
    </w:p>
    <w:p w14:paraId="31E1711A" w14:textId="77777777" w:rsidR="00E352DD" w:rsidRPr="0076232E" w:rsidRDefault="00E352DD" w:rsidP="00E352DD">
      <w:pPr>
        <w:spacing w:before="120" w:line="240" w:lineRule="auto"/>
        <w:mirrorIndents/>
        <w:rPr>
          <w:rFonts w:eastAsia="Calibri"/>
          <w:b/>
          <w:sz w:val="24"/>
          <w:szCs w:val="24"/>
          <w:lang w:val="bg-BG"/>
        </w:rPr>
      </w:pPr>
      <w:r w:rsidRPr="0076232E">
        <w:rPr>
          <w:rFonts w:eastAsia="Calibri"/>
          <w:b/>
          <w:caps/>
          <w:sz w:val="24"/>
          <w:szCs w:val="24"/>
          <w:lang w:val="bg-BG"/>
        </w:rPr>
        <w:t>2</w:t>
      </w:r>
      <w:r w:rsidRPr="0076232E">
        <w:rPr>
          <w:rFonts w:eastAsia="Calibri"/>
          <w:caps/>
          <w:sz w:val="24"/>
          <w:szCs w:val="24"/>
          <w:lang w:val="bg-BG"/>
        </w:rPr>
        <w:t>.</w:t>
      </w:r>
      <w:r w:rsidRPr="0076232E">
        <w:rPr>
          <w:rFonts w:eastAsia="Calibri"/>
          <w:b/>
          <w:sz w:val="24"/>
          <w:szCs w:val="24"/>
          <w:lang w:val="bg-BG"/>
        </w:rPr>
        <w:t xml:space="preserve"> Методология за осъществяване на контрол по сключените договори</w:t>
      </w:r>
    </w:p>
    <w:p w14:paraId="30BCB150"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z w:val="24"/>
          <w:szCs w:val="24"/>
          <w:lang w:val="bg-BG"/>
        </w:rPr>
        <w:t>А</w:t>
      </w:r>
      <w:r w:rsidRPr="0076232E">
        <w:rPr>
          <w:rFonts w:eastAsia="Calibri"/>
          <w:sz w:val="24"/>
          <w:szCs w:val="24"/>
          <w:lang w:val="bg-BG"/>
        </w:rPr>
        <w:t xml:space="preserve">. Юристът на дирекция „Здравеопазване” изготвя проект на заповед за назначаване на комисия за извършване на проверки в лечебните заведения. Заповедта се съгласува от: директор дирекция „Здравеопазване”, </w:t>
      </w:r>
      <w:r w:rsidRPr="0076232E">
        <w:rPr>
          <w:rStyle w:val="Strong"/>
          <w:b w:val="0"/>
          <w:sz w:val="24"/>
          <w:szCs w:val="24"/>
        </w:rPr>
        <w:t>заместник-кмет</w:t>
      </w:r>
      <w:r w:rsidRPr="0076232E">
        <w:rPr>
          <w:rStyle w:val="Strong"/>
          <w:b w:val="0"/>
          <w:sz w:val="24"/>
          <w:szCs w:val="24"/>
          <w:lang w:val="bg-BG"/>
        </w:rPr>
        <w:t>а</w:t>
      </w:r>
      <w:r w:rsidRPr="0076232E">
        <w:rPr>
          <w:rStyle w:val="Strong"/>
          <w:b w:val="0"/>
          <w:sz w:val="24"/>
          <w:szCs w:val="24"/>
        </w:rPr>
        <w:t xml:space="preserve"> на Столична община, направление „Финанси и здравеопазване“</w:t>
      </w:r>
      <w:r w:rsidRPr="0076232E">
        <w:rPr>
          <w:rFonts w:eastAsia="Calibri"/>
          <w:sz w:val="24"/>
          <w:szCs w:val="24"/>
          <w:lang w:val="bg-BG"/>
        </w:rPr>
        <w:t>,</w:t>
      </w:r>
      <w:r w:rsidRPr="0076232E">
        <w:rPr>
          <w:rFonts w:eastAsia="Calibri"/>
          <w:b/>
          <w:sz w:val="24"/>
          <w:szCs w:val="24"/>
          <w:lang w:val="bg-BG"/>
        </w:rPr>
        <w:t xml:space="preserve"> </w:t>
      </w:r>
      <w:r w:rsidRPr="0076232E">
        <w:rPr>
          <w:rStyle w:val="Strong"/>
          <w:b w:val="0"/>
          <w:sz w:val="24"/>
          <w:szCs w:val="24"/>
        </w:rPr>
        <w:t>заместник-кмет</w:t>
      </w:r>
      <w:r w:rsidRPr="0076232E">
        <w:rPr>
          <w:rStyle w:val="Strong"/>
          <w:b w:val="0"/>
          <w:sz w:val="24"/>
          <w:szCs w:val="24"/>
          <w:lang w:val="bg-BG"/>
        </w:rPr>
        <w:t>а</w:t>
      </w:r>
      <w:r w:rsidRPr="0076232E">
        <w:rPr>
          <w:rStyle w:val="Strong"/>
          <w:b w:val="0"/>
          <w:sz w:val="24"/>
          <w:szCs w:val="24"/>
        </w:rPr>
        <w:t xml:space="preserve"> на Столична община, направление „Правен и административен контрол“</w:t>
      </w:r>
      <w:r w:rsidRPr="0076232E">
        <w:rPr>
          <w:rFonts w:eastAsia="Calibri"/>
          <w:sz w:val="24"/>
          <w:szCs w:val="24"/>
          <w:lang w:val="bg-BG"/>
        </w:rPr>
        <w:t xml:space="preserve"> и се подписва от кмета на Столична община.</w:t>
      </w:r>
    </w:p>
    <w:p w14:paraId="51EB0CBF"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z w:val="24"/>
          <w:szCs w:val="24"/>
          <w:lang w:val="bg-BG"/>
        </w:rPr>
        <w:t>Б</w:t>
      </w:r>
      <w:r w:rsidRPr="0076232E">
        <w:rPr>
          <w:rFonts w:eastAsia="Calibri"/>
          <w:sz w:val="24"/>
          <w:szCs w:val="24"/>
          <w:lang w:val="bg-BG"/>
        </w:rPr>
        <w:t>. Длъжностно лице от Дирекцията изготвя график за извършване на ежемесечните проверки в лечебните заведения. Графикът се утвърждава от директора на дирекция „Здравеопазване”.</w:t>
      </w:r>
    </w:p>
    <w:p w14:paraId="4154EE8D"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z w:val="24"/>
          <w:szCs w:val="24"/>
          <w:lang w:val="bg-BG"/>
        </w:rPr>
        <w:t>В</w:t>
      </w:r>
      <w:r w:rsidRPr="0076232E">
        <w:rPr>
          <w:rFonts w:eastAsia="Calibri"/>
          <w:sz w:val="24"/>
          <w:szCs w:val="24"/>
          <w:lang w:val="bg-BG"/>
        </w:rPr>
        <w:t>. Л</w:t>
      </w:r>
      <w:r w:rsidRPr="0076232E">
        <w:rPr>
          <w:rFonts w:eastAsia="Calibri"/>
          <w:spacing w:val="-1"/>
          <w:sz w:val="24"/>
          <w:szCs w:val="24"/>
          <w:lang w:val="bg-BG"/>
        </w:rPr>
        <w:t>ечебните заведения представят в дирекция „Здравеопазване” месечни отчети, съгласно Приложения № 2 и 3 към договора, до 7 число на месеца, следващ отчетния период. Месечните отчети се изготвят в два екземпляра и се завеждат в деловодството на дирекцията.</w:t>
      </w:r>
    </w:p>
    <w:p w14:paraId="72507807" w14:textId="77777777" w:rsidR="00E352DD" w:rsidRPr="0076232E" w:rsidRDefault="00E352DD" w:rsidP="00E352DD">
      <w:pPr>
        <w:spacing w:before="120" w:line="240" w:lineRule="auto"/>
        <w:mirrorIndents/>
        <w:rPr>
          <w:rFonts w:eastAsia="Calibri"/>
          <w:spacing w:val="-1"/>
          <w:sz w:val="24"/>
          <w:szCs w:val="24"/>
          <w:lang w:val="bg-BG"/>
        </w:rPr>
      </w:pPr>
      <w:r w:rsidRPr="0076232E">
        <w:rPr>
          <w:rFonts w:eastAsia="Calibri"/>
          <w:b/>
          <w:spacing w:val="-1"/>
          <w:sz w:val="24"/>
          <w:szCs w:val="24"/>
          <w:lang w:val="bg-BG"/>
        </w:rPr>
        <w:t>Г</w:t>
      </w:r>
      <w:r w:rsidRPr="0076232E">
        <w:rPr>
          <w:rFonts w:eastAsia="Calibri"/>
          <w:spacing w:val="-1"/>
          <w:sz w:val="24"/>
          <w:szCs w:val="24"/>
          <w:lang w:val="bg-BG"/>
        </w:rPr>
        <w:t>. Членовете на комисията проверяват и съпоставят данните в детайлизирания отчет на лечебното заведение с представената медицинска документация, спазването на условията на договора, както и спазването на Указанията за извършване на дейностите по Приложение № 1 към договора.</w:t>
      </w:r>
    </w:p>
    <w:p w14:paraId="14199876"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pacing w:val="-1"/>
          <w:sz w:val="24"/>
          <w:szCs w:val="24"/>
          <w:lang w:val="bg-BG"/>
        </w:rPr>
        <w:t>Д</w:t>
      </w:r>
      <w:r w:rsidRPr="0076232E">
        <w:rPr>
          <w:rFonts w:eastAsia="Calibri"/>
          <w:spacing w:val="-1"/>
          <w:sz w:val="24"/>
          <w:szCs w:val="24"/>
          <w:lang w:val="bg-BG"/>
        </w:rPr>
        <w:t>. За констатациите си Комисията изготвя протокол. Протоколът се изготвя в два екземпляра и се подписва от членовете на комисията, извършили проверката.</w:t>
      </w:r>
    </w:p>
    <w:p w14:paraId="34FA9A58"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pacing w:val="-1"/>
          <w:sz w:val="24"/>
          <w:szCs w:val="24"/>
          <w:lang w:val="bg-BG"/>
        </w:rPr>
        <w:t>Е</w:t>
      </w:r>
      <w:r w:rsidRPr="0076232E">
        <w:rPr>
          <w:rFonts w:eastAsia="Calibri"/>
          <w:spacing w:val="-1"/>
          <w:sz w:val="24"/>
          <w:szCs w:val="24"/>
          <w:lang w:val="bg-BG"/>
        </w:rPr>
        <w:t>. Установените несъответствия при проверката се отразяват като корекция във всички екземпляри на отчетите и се подписват от членовете на комисията. Изпълнителният директор/управител на лечебното заведение с подпис удостоверява, че е съгласен с направените корекции.</w:t>
      </w:r>
    </w:p>
    <w:p w14:paraId="0CFFF3A5"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b/>
          <w:spacing w:val="-1"/>
          <w:sz w:val="24"/>
          <w:szCs w:val="24"/>
          <w:lang w:val="bg-BG"/>
        </w:rPr>
        <w:lastRenderedPageBreak/>
        <w:t>Ж</w:t>
      </w:r>
      <w:r w:rsidRPr="0076232E">
        <w:rPr>
          <w:rFonts w:eastAsia="Calibri"/>
          <w:spacing w:val="-1"/>
          <w:sz w:val="24"/>
          <w:szCs w:val="24"/>
          <w:lang w:val="bg-BG"/>
        </w:rPr>
        <w:t>. О</w:t>
      </w:r>
      <w:r w:rsidRPr="0076232E">
        <w:rPr>
          <w:rFonts w:eastAsia="Calibri"/>
          <w:sz w:val="24"/>
          <w:szCs w:val="24"/>
          <w:lang w:val="bg-BG"/>
        </w:rPr>
        <w:t>тчетът и протоколът се представят в счетоводството, което ги предава на финансовия контрольор за осъществяване на предварителен контрол преди извършване на разхода, след което се извършва плащане по договора. Вторите екземпляри от отчета и протокола се предоставят на изпълнителния директор/управител на лечебното заведение.</w:t>
      </w:r>
    </w:p>
    <w:p w14:paraId="5232B3F7" w14:textId="77777777" w:rsidR="00E352DD" w:rsidRPr="0076232E" w:rsidRDefault="00E352DD" w:rsidP="00E352DD">
      <w:pPr>
        <w:spacing w:before="120" w:line="240" w:lineRule="auto"/>
        <w:mirrorIndents/>
        <w:rPr>
          <w:rFonts w:eastAsia="Calibri"/>
          <w:b/>
          <w:sz w:val="24"/>
          <w:szCs w:val="24"/>
          <w:lang w:val="bg-BG"/>
        </w:rPr>
      </w:pPr>
      <w:r w:rsidRPr="0076232E">
        <w:rPr>
          <w:rFonts w:eastAsia="Calibri"/>
          <w:b/>
          <w:sz w:val="24"/>
          <w:szCs w:val="24"/>
          <w:lang w:val="bg-BG"/>
        </w:rPr>
        <w:t>3. Предвидени средства по Програмата.</w:t>
      </w:r>
    </w:p>
    <w:p w14:paraId="7E2EFF51"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sz w:val="24"/>
          <w:szCs w:val="24"/>
          <w:lang w:val="bg-BG"/>
        </w:rPr>
        <w:t xml:space="preserve">Във връзка с продължаващата епидемична обстановка в страната, Столична община и през 2021 година ще продължи да финансира на исторически принцип </w:t>
      </w:r>
      <w:r w:rsidRPr="0076232E">
        <w:rPr>
          <w:rFonts w:eastAsia="Calibri"/>
          <w:bCs/>
          <w:kern w:val="32"/>
          <w:sz w:val="24"/>
          <w:szCs w:val="24"/>
          <w:lang w:val="bg-BG" w:eastAsia="en-US"/>
        </w:rPr>
        <w:t xml:space="preserve">извършените </w:t>
      </w:r>
      <w:r w:rsidRPr="0076232E">
        <w:rPr>
          <w:rFonts w:eastAsia="Calibri"/>
          <w:sz w:val="24"/>
          <w:szCs w:val="24"/>
          <w:lang w:val="bg-BG"/>
        </w:rPr>
        <w:t>от общинските болници</w:t>
      </w:r>
      <w:r w:rsidRPr="0076232E">
        <w:rPr>
          <w:rFonts w:eastAsia="Calibri"/>
          <w:bCs/>
          <w:kern w:val="32"/>
          <w:sz w:val="24"/>
          <w:szCs w:val="24"/>
          <w:lang w:val="bg-BG" w:eastAsia="en-US"/>
        </w:rPr>
        <w:t xml:space="preserve"> медицински дейности, </w:t>
      </w:r>
      <w:r w:rsidRPr="0076232E">
        <w:rPr>
          <w:rFonts w:eastAsia="Calibri"/>
          <w:sz w:val="24"/>
          <w:szCs w:val="24"/>
          <w:lang w:val="bg-BG"/>
        </w:rPr>
        <w:t>които не попадат в обхвата на ЗЗО и здравните фондове.</w:t>
      </w:r>
      <w:r w:rsidRPr="0076232E">
        <w:rPr>
          <w:rFonts w:eastAsia="Calibri"/>
          <w:b/>
          <w:bCs/>
          <w:kern w:val="32"/>
          <w:sz w:val="24"/>
          <w:szCs w:val="24"/>
          <w:lang w:val="bg-BG" w:eastAsia="en-US"/>
        </w:rPr>
        <w:t xml:space="preserve"> </w:t>
      </w:r>
    </w:p>
    <w:p w14:paraId="6C05B88A" w14:textId="77777777" w:rsidR="00E352DD" w:rsidRPr="0076232E" w:rsidRDefault="00E352DD" w:rsidP="00E352DD">
      <w:pPr>
        <w:spacing w:before="120" w:line="240" w:lineRule="auto"/>
        <w:mirrorIndents/>
        <w:rPr>
          <w:rFonts w:eastAsia="Calibri"/>
          <w:b/>
          <w:i/>
          <w:caps/>
          <w:sz w:val="24"/>
          <w:szCs w:val="24"/>
        </w:rPr>
      </w:pPr>
    </w:p>
    <w:p w14:paraId="3285788D" w14:textId="77777777" w:rsidR="00E352DD" w:rsidRPr="0076232E" w:rsidRDefault="00E352DD" w:rsidP="00E352DD">
      <w:pPr>
        <w:spacing w:before="120" w:line="240" w:lineRule="auto"/>
        <w:mirrorIndents/>
        <w:rPr>
          <w:rFonts w:eastAsia="Calibri"/>
          <w:b/>
          <w:i/>
          <w:caps/>
          <w:sz w:val="24"/>
          <w:szCs w:val="24"/>
          <w:lang w:val="bg-BG"/>
        </w:rPr>
      </w:pPr>
      <w:r w:rsidRPr="0076232E">
        <w:rPr>
          <w:rFonts w:eastAsia="Calibri"/>
          <w:b/>
          <w:i/>
          <w:caps/>
          <w:sz w:val="24"/>
          <w:szCs w:val="24"/>
        </w:rPr>
        <w:t xml:space="preserve">II. </w:t>
      </w:r>
      <w:r w:rsidRPr="0076232E">
        <w:rPr>
          <w:rFonts w:eastAsia="Calibri"/>
          <w:b/>
          <w:i/>
          <w:caps/>
          <w:sz w:val="24"/>
          <w:szCs w:val="24"/>
          <w:lang w:val="bg-BG"/>
        </w:rPr>
        <w:t>програма: скринингови изследвания</w:t>
      </w:r>
    </w:p>
    <w:p w14:paraId="456E7AC9" w14:textId="77777777" w:rsidR="00E352DD" w:rsidRPr="007D6DED" w:rsidRDefault="00E352DD" w:rsidP="00E352DD">
      <w:pPr>
        <w:numPr>
          <w:ilvl w:val="0"/>
          <w:numId w:val="47"/>
        </w:numPr>
        <w:spacing w:before="120" w:after="0" w:line="240" w:lineRule="auto"/>
        <w:ind w:left="0"/>
        <w:mirrorIndents/>
        <w:jc w:val="both"/>
        <w:rPr>
          <w:b/>
          <w:i/>
          <w:caps/>
          <w:color w:val="000000"/>
          <w:sz w:val="24"/>
          <w:szCs w:val="24"/>
          <w:lang w:val="bg-BG" w:bidi="bg-BG"/>
        </w:rPr>
      </w:pPr>
      <w:r w:rsidRPr="007D6DED">
        <w:rPr>
          <w:b/>
          <w:i/>
          <w:iCs/>
          <w:caps/>
          <w:color w:val="000000"/>
          <w:sz w:val="24"/>
          <w:szCs w:val="24"/>
          <w:lang w:val="bg-BG" w:bidi="bg-BG"/>
        </w:rPr>
        <w:t xml:space="preserve">подпрограма: „Скринингово изследване за </w:t>
      </w:r>
      <w:r w:rsidRPr="007D6DED">
        <w:rPr>
          <w:b/>
          <w:i/>
          <w:iCs/>
          <w:caps/>
          <w:color w:val="000000"/>
          <w:sz w:val="24"/>
          <w:szCs w:val="24"/>
          <w:lang w:bidi="bg-BG"/>
        </w:rPr>
        <w:t>covid</w:t>
      </w:r>
      <w:r w:rsidRPr="007D6DED">
        <w:rPr>
          <w:b/>
          <w:i/>
          <w:iCs/>
          <w:caps/>
          <w:color w:val="000000"/>
          <w:sz w:val="24"/>
          <w:szCs w:val="24"/>
          <w:lang w:val="bg-BG" w:bidi="bg-BG"/>
        </w:rPr>
        <w:t>-19 /коронавирусна инфекция/, чрез антигенен тест на персонала в образователните институции - училища на територията на Столична община".</w:t>
      </w:r>
    </w:p>
    <w:p w14:paraId="3A694863" w14:textId="77777777" w:rsidR="00E352DD" w:rsidRPr="0076232E" w:rsidRDefault="00E352DD" w:rsidP="00E352DD">
      <w:pPr>
        <w:spacing w:before="120" w:line="240" w:lineRule="auto"/>
        <w:mirrorIndents/>
        <w:rPr>
          <w:color w:val="000000"/>
          <w:sz w:val="24"/>
          <w:szCs w:val="24"/>
          <w:lang w:val="bg-BG" w:bidi="bg-BG"/>
        </w:rPr>
      </w:pPr>
      <w:r w:rsidRPr="0076232E">
        <w:rPr>
          <w:rFonts w:eastAsia="Calibri"/>
          <w:b/>
          <w:sz w:val="24"/>
          <w:szCs w:val="24"/>
          <w:lang w:val="bg-BG"/>
        </w:rPr>
        <w:t>Оперативна цел:</w:t>
      </w:r>
      <w:r w:rsidRPr="0076232E">
        <w:rPr>
          <w:rFonts w:eastAsia="Calibri"/>
          <w:sz w:val="24"/>
          <w:szCs w:val="24"/>
          <w:lang w:val="bg-BG"/>
        </w:rPr>
        <w:t xml:space="preserve"> Г</w:t>
      </w:r>
      <w:r w:rsidRPr="0076232E">
        <w:rPr>
          <w:color w:val="000000"/>
          <w:sz w:val="24"/>
          <w:szCs w:val="24"/>
          <w:lang w:val="bg-BG" w:bidi="bg-BG"/>
        </w:rPr>
        <w:t>арантиране здравето на персонала в училищата, пряко свързан с учебния процес.</w:t>
      </w:r>
    </w:p>
    <w:p w14:paraId="740ACFDC" w14:textId="77777777" w:rsidR="00E352DD" w:rsidRPr="0076232E" w:rsidRDefault="00E352DD" w:rsidP="00E352DD">
      <w:pPr>
        <w:spacing w:before="120" w:line="240" w:lineRule="auto"/>
        <w:mirrorIndents/>
        <w:rPr>
          <w:color w:val="000000"/>
          <w:sz w:val="24"/>
          <w:szCs w:val="24"/>
          <w:lang w:val="bg-BG" w:bidi="bg-BG"/>
        </w:rPr>
      </w:pPr>
      <w:r w:rsidRPr="0076232E">
        <w:rPr>
          <w:rFonts w:eastAsia="Calibri"/>
          <w:b/>
          <w:sz w:val="24"/>
          <w:szCs w:val="24"/>
          <w:lang w:val="bg-BG"/>
        </w:rPr>
        <w:t xml:space="preserve">Реализиране на Програмата: </w:t>
      </w:r>
      <w:r w:rsidRPr="0076232E">
        <w:rPr>
          <w:color w:val="000000"/>
          <w:sz w:val="24"/>
          <w:szCs w:val="24"/>
          <w:lang w:val="bg-BG" w:bidi="bg-BG"/>
        </w:rPr>
        <w:t xml:space="preserve">Тестовете за бърз антигенен тест се предоставят от Столична регионална здравна инспекция, при необходимост и от Столична община чрез дирекция „Здравеопазване“. Пробонабирането се финансира от Програмата по </w:t>
      </w:r>
      <w:r>
        <w:rPr>
          <w:color w:val="000000"/>
          <w:sz w:val="24"/>
          <w:szCs w:val="24"/>
          <w:lang w:val="bg-BG" w:bidi="bg-BG"/>
        </w:rPr>
        <w:t xml:space="preserve">10 </w:t>
      </w:r>
      <w:r w:rsidRPr="0076232E">
        <w:rPr>
          <w:color w:val="000000"/>
          <w:sz w:val="24"/>
          <w:szCs w:val="24"/>
          <w:lang w:val="bg-BG" w:bidi="bg-BG"/>
        </w:rPr>
        <w:t xml:space="preserve">лева на изследване. </w:t>
      </w:r>
    </w:p>
    <w:p w14:paraId="5DD51937" w14:textId="77777777" w:rsidR="00E352DD" w:rsidRPr="0076232E" w:rsidRDefault="00E352DD" w:rsidP="00E352DD">
      <w:pPr>
        <w:spacing w:before="120" w:line="240" w:lineRule="auto"/>
        <w:mirrorIndents/>
        <w:rPr>
          <w:color w:val="000000"/>
          <w:sz w:val="24"/>
          <w:szCs w:val="24"/>
          <w:lang w:val="bg-BG" w:bidi="bg-BG"/>
        </w:rPr>
      </w:pPr>
      <w:r w:rsidRPr="0076232E">
        <w:rPr>
          <w:b/>
          <w:color w:val="000000"/>
          <w:sz w:val="24"/>
          <w:szCs w:val="24"/>
          <w:lang w:val="bg-BG" w:bidi="bg-BG"/>
        </w:rPr>
        <w:t>Изпълнители на Програмата:</w:t>
      </w:r>
      <w:r w:rsidRPr="0076232E">
        <w:rPr>
          <w:color w:val="000000"/>
          <w:sz w:val="24"/>
          <w:szCs w:val="24"/>
          <w:lang w:val="bg-BG" w:bidi="bg-BG"/>
        </w:rPr>
        <w:t xml:space="preserve"> </w:t>
      </w:r>
    </w:p>
    <w:p w14:paraId="53353B34"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VIII - </w:t>
      </w:r>
      <w:r>
        <w:rPr>
          <w:color w:val="000000"/>
          <w:sz w:val="24"/>
          <w:szCs w:val="24"/>
          <w:lang w:val="bg-BG" w:bidi="bg-BG"/>
        </w:rPr>
        <w:t>София</w:t>
      </w:r>
      <w:r w:rsidRPr="0076232E">
        <w:rPr>
          <w:color w:val="000000"/>
          <w:sz w:val="24"/>
          <w:szCs w:val="24"/>
          <w:lang w:val="bg-BG" w:bidi="bg-BG"/>
        </w:rPr>
        <w:t>“ ЕООД;</w:t>
      </w:r>
    </w:p>
    <w:p w14:paraId="3C2D2D22"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XI - </w:t>
      </w:r>
      <w:r>
        <w:rPr>
          <w:color w:val="000000"/>
          <w:sz w:val="24"/>
          <w:szCs w:val="24"/>
          <w:lang w:val="bg-BG" w:bidi="bg-BG"/>
        </w:rPr>
        <w:t>София</w:t>
      </w:r>
      <w:r w:rsidRPr="0076232E">
        <w:rPr>
          <w:color w:val="000000"/>
          <w:sz w:val="24"/>
          <w:szCs w:val="24"/>
          <w:lang w:val="bg-BG" w:bidi="bg-BG"/>
        </w:rPr>
        <w:t>“ ЕООД;</w:t>
      </w:r>
    </w:p>
    <w:p w14:paraId="2C2932C4"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XII - </w:t>
      </w:r>
      <w:r>
        <w:rPr>
          <w:color w:val="000000"/>
          <w:sz w:val="24"/>
          <w:szCs w:val="24"/>
          <w:lang w:val="bg-BG" w:bidi="bg-BG"/>
        </w:rPr>
        <w:t>София</w:t>
      </w:r>
      <w:r w:rsidRPr="0076232E">
        <w:rPr>
          <w:color w:val="000000"/>
          <w:sz w:val="24"/>
          <w:szCs w:val="24"/>
          <w:lang w:val="bg-BG" w:bidi="bg-BG"/>
        </w:rPr>
        <w:t>“ ЕООД;</w:t>
      </w:r>
    </w:p>
    <w:p w14:paraId="438D52A2"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XIII - </w:t>
      </w:r>
      <w:r>
        <w:rPr>
          <w:color w:val="000000"/>
          <w:sz w:val="24"/>
          <w:szCs w:val="24"/>
          <w:lang w:val="bg-BG" w:bidi="bg-BG"/>
        </w:rPr>
        <w:t>София</w:t>
      </w:r>
      <w:r w:rsidRPr="0076232E">
        <w:rPr>
          <w:color w:val="000000"/>
          <w:sz w:val="24"/>
          <w:szCs w:val="24"/>
          <w:lang w:val="bg-BG" w:bidi="bg-BG"/>
        </w:rPr>
        <w:t>“ ЕООД;</w:t>
      </w:r>
    </w:p>
    <w:p w14:paraId="1FA7EAFE"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XVII - </w:t>
      </w:r>
      <w:r>
        <w:rPr>
          <w:color w:val="000000"/>
          <w:sz w:val="24"/>
          <w:szCs w:val="24"/>
          <w:lang w:val="bg-BG" w:bidi="bg-BG"/>
        </w:rPr>
        <w:t>София</w:t>
      </w:r>
      <w:r w:rsidRPr="0076232E">
        <w:rPr>
          <w:color w:val="000000"/>
          <w:sz w:val="24"/>
          <w:szCs w:val="24"/>
          <w:lang w:val="bg-BG" w:bidi="bg-BG"/>
        </w:rPr>
        <w:t>“ ЕООД;</w:t>
      </w:r>
    </w:p>
    <w:p w14:paraId="07EED976"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XVIII - </w:t>
      </w:r>
      <w:r>
        <w:rPr>
          <w:color w:val="000000"/>
          <w:sz w:val="24"/>
          <w:szCs w:val="24"/>
          <w:lang w:val="bg-BG" w:bidi="bg-BG"/>
        </w:rPr>
        <w:t>София</w:t>
      </w:r>
      <w:r w:rsidRPr="0076232E">
        <w:rPr>
          <w:color w:val="000000"/>
          <w:sz w:val="24"/>
          <w:szCs w:val="24"/>
          <w:lang w:val="bg-BG" w:bidi="bg-BG"/>
        </w:rPr>
        <w:t>“ ЕООД;</w:t>
      </w:r>
    </w:p>
    <w:p w14:paraId="71192668"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XX - </w:t>
      </w:r>
      <w:r>
        <w:rPr>
          <w:color w:val="000000"/>
          <w:sz w:val="24"/>
          <w:szCs w:val="24"/>
          <w:lang w:val="bg-BG" w:bidi="bg-BG"/>
        </w:rPr>
        <w:t>София</w:t>
      </w:r>
      <w:r w:rsidRPr="0076232E">
        <w:rPr>
          <w:color w:val="000000"/>
          <w:sz w:val="24"/>
          <w:szCs w:val="24"/>
          <w:lang w:val="bg-BG" w:bidi="bg-BG"/>
        </w:rPr>
        <w:t>“ ЕООД;</w:t>
      </w:r>
    </w:p>
    <w:p w14:paraId="6CE359DE"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XXII - </w:t>
      </w:r>
      <w:r>
        <w:rPr>
          <w:color w:val="000000"/>
          <w:sz w:val="24"/>
          <w:szCs w:val="24"/>
          <w:lang w:val="bg-BG" w:bidi="bg-BG"/>
        </w:rPr>
        <w:t>София</w:t>
      </w:r>
      <w:r w:rsidRPr="0076232E">
        <w:rPr>
          <w:color w:val="000000"/>
          <w:sz w:val="24"/>
          <w:szCs w:val="24"/>
          <w:lang w:val="bg-BG" w:bidi="bg-BG"/>
        </w:rPr>
        <w:t>“ ЕООД;</w:t>
      </w:r>
    </w:p>
    <w:p w14:paraId="68FB7DAD" w14:textId="77777777" w:rsidR="00E352DD" w:rsidRPr="0076232E" w:rsidRDefault="00E352DD" w:rsidP="00E352DD">
      <w:pPr>
        <w:widowControl w:val="0"/>
        <w:numPr>
          <w:ilvl w:val="0"/>
          <w:numId w:val="51"/>
        </w:numPr>
        <w:tabs>
          <w:tab w:val="left" w:pos="426"/>
        </w:tabs>
        <w:spacing w:before="120" w:after="0" w:line="240" w:lineRule="auto"/>
        <w:mirrorIndents/>
        <w:rPr>
          <w:color w:val="000000"/>
          <w:sz w:val="24"/>
          <w:szCs w:val="24"/>
          <w:lang w:val="bg-BG" w:bidi="bg-BG"/>
        </w:rPr>
      </w:pPr>
      <w:r w:rsidRPr="0076232E">
        <w:rPr>
          <w:color w:val="000000"/>
          <w:sz w:val="24"/>
          <w:szCs w:val="24"/>
          <w:lang w:val="bg-BG" w:bidi="bg-BG"/>
        </w:rPr>
        <w:t xml:space="preserve">„Диагностично-консултативен център XXIV - </w:t>
      </w:r>
      <w:r>
        <w:rPr>
          <w:color w:val="000000"/>
          <w:sz w:val="24"/>
          <w:szCs w:val="24"/>
          <w:lang w:val="bg-BG" w:bidi="bg-BG"/>
        </w:rPr>
        <w:t>София</w:t>
      </w:r>
      <w:r w:rsidRPr="0076232E">
        <w:rPr>
          <w:color w:val="000000"/>
          <w:sz w:val="24"/>
          <w:szCs w:val="24"/>
          <w:lang w:val="bg-BG" w:bidi="bg-BG"/>
        </w:rPr>
        <w:t>“ ЕООД;</w:t>
      </w:r>
    </w:p>
    <w:p w14:paraId="13114292" w14:textId="77777777" w:rsidR="00E352DD" w:rsidRPr="0076232E" w:rsidRDefault="00E352DD" w:rsidP="00E352DD">
      <w:pPr>
        <w:widowControl w:val="0"/>
        <w:numPr>
          <w:ilvl w:val="0"/>
          <w:numId w:val="51"/>
        </w:numPr>
        <w:tabs>
          <w:tab w:val="left" w:pos="426"/>
        </w:tabs>
        <w:spacing w:before="120" w:after="0" w:line="240" w:lineRule="auto"/>
        <w:mirrorIndents/>
        <w:rPr>
          <w:b/>
          <w:caps/>
          <w:color w:val="000000"/>
          <w:sz w:val="24"/>
          <w:szCs w:val="24"/>
          <w:lang w:val="bg-BG" w:bidi="bg-BG"/>
        </w:rPr>
      </w:pPr>
      <w:r w:rsidRPr="0076232E">
        <w:rPr>
          <w:rFonts w:eastAsia="Courier New"/>
          <w:color w:val="000000"/>
          <w:sz w:val="24"/>
          <w:szCs w:val="24"/>
          <w:lang w:val="bg-BG" w:bidi="bg-BG"/>
        </w:rPr>
        <w:t xml:space="preserve">„Диагностично-консултативен център XXV - </w:t>
      </w:r>
      <w:r>
        <w:rPr>
          <w:rFonts w:eastAsia="Courier New"/>
          <w:color w:val="000000"/>
          <w:sz w:val="24"/>
          <w:szCs w:val="24"/>
          <w:lang w:val="bg-BG" w:bidi="bg-BG"/>
        </w:rPr>
        <w:t>София</w:t>
      </w:r>
      <w:r w:rsidRPr="0076232E">
        <w:rPr>
          <w:rFonts w:eastAsia="Courier New"/>
          <w:color w:val="000000"/>
          <w:sz w:val="24"/>
          <w:szCs w:val="24"/>
          <w:lang w:val="bg-BG" w:bidi="bg-BG"/>
        </w:rPr>
        <w:t>“ ЕООД.</w:t>
      </w:r>
    </w:p>
    <w:p w14:paraId="1833A406" w14:textId="77777777" w:rsidR="00E352DD" w:rsidRPr="0076232E" w:rsidRDefault="00E352DD" w:rsidP="00E352DD">
      <w:pPr>
        <w:spacing w:before="120" w:line="240" w:lineRule="auto"/>
        <w:ind w:firstLine="360"/>
        <w:mirrorIndents/>
        <w:rPr>
          <w:color w:val="000000"/>
          <w:sz w:val="24"/>
          <w:szCs w:val="24"/>
          <w:lang w:val="bg-BG" w:bidi="bg-BG"/>
        </w:rPr>
      </w:pPr>
    </w:p>
    <w:p w14:paraId="10282A83" w14:textId="77777777" w:rsidR="00E352DD" w:rsidRPr="0076232E" w:rsidRDefault="00E352DD" w:rsidP="00E352DD">
      <w:pPr>
        <w:spacing w:before="120" w:line="240" w:lineRule="auto"/>
        <w:mirrorIndents/>
        <w:rPr>
          <w:b/>
          <w:color w:val="000000"/>
          <w:sz w:val="24"/>
          <w:szCs w:val="24"/>
          <w:lang w:val="bg-BG" w:bidi="bg-BG"/>
        </w:rPr>
      </w:pPr>
      <w:r w:rsidRPr="0076232E">
        <w:rPr>
          <w:b/>
          <w:color w:val="000000"/>
          <w:sz w:val="24"/>
          <w:szCs w:val="24"/>
          <w:lang w:val="bg-BG" w:bidi="bg-BG"/>
        </w:rPr>
        <w:t>Общи условия на Програмата:</w:t>
      </w:r>
    </w:p>
    <w:p w14:paraId="6FF39D22" w14:textId="77777777" w:rsidR="00E352DD" w:rsidRPr="0076232E" w:rsidRDefault="00E352DD" w:rsidP="00E352DD">
      <w:pPr>
        <w:widowControl w:val="0"/>
        <w:spacing w:before="120" w:line="240" w:lineRule="auto"/>
        <w:mirrorIndents/>
        <w:rPr>
          <w:color w:val="000000"/>
          <w:sz w:val="24"/>
          <w:szCs w:val="24"/>
          <w:lang w:val="bg-BG" w:bidi="bg-BG"/>
        </w:rPr>
      </w:pPr>
      <w:r w:rsidRPr="0076232E">
        <w:rPr>
          <w:color w:val="000000"/>
          <w:sz w:val="24"/>
          <w:szCs w:val="24"/>
          <w:lang w:val="bg-BG" w:bidi="bg-BG"/>
        </w:rPr>
        <w:t xml:space="preserve">За изпълнение на програмата Столична община сключва договори с общинските </w:t>
      </w:r>
      <w:r w:rsidRPr="0076232E">
        <w:rPr>
          <w:color w:val="000000"/>
          <w:sz w:val="24"/>
          <w:szCs w:val="24"/>
          <w:lang w:val="bg-BG" w:bidi="bg-BG"/>
        </w:rPr>
        <w:lastRenderedPageBreak/>
        <w:t xml:space="preserve">диагностично-консултативни центрове, съгласно изискванията на Закона за лечебните заведения. </w:t>
      </w:r>
    </w:p>
    <w:p w14:paraId="6FE00E5F" w14:textId="77777777" w:rsidR="00E352DD" w:rsidRPr="0076232E" w:rsidRDefault="00E352DD" w:rsidP="00E352DD">
      <w:pPr>
        <w:widowControl w:val="0"/>
        <w:spacing w:before="120" w:line="240" w:lineRule="auto"/>
        <w:mirrorIndents/>
        <w:rPr>
          <w:color w:val="000000"/>
          <w:sz w:val="24"/>
          <w:szCs w:val="24"/>
          <w:lang w:val="bg-BG" w:bidi="bg-BG"/>
        </w:rPr>
      </w:pPr>
      <w:r w:rsidRPr="0076232E">
        <w:rPr>
          <w:color w:val="000000"/>
          <w:sz w:val="24"/>
          <w:szCs w:val="24"/>
          <w:lang w:val="bg-BG" w:bidi="bg-BG"/>
        </w:rPr>
        <w:t>Лечебните заведения представят в дирекция „Здравеопазване” отчети за извършеното от тях пробонабиране за бърз антигенен тест и справка за получените от изследването резултати.</w:t>
      </w:r>
    </w:p>
    <w:p w14:paraId="01943772" w14:textId="77777777" w:rsidR="00E352DD" w:rsidRPr="0076232E" w:rsidRDefault="00E352DD" w:rsidP="00E352DD">
      <w:pPr>
        <w:widowControl w:val="0"/>
        <w:spacing w:before="120" w:line="240" w:lineRule="auto"/>
        <w:mirrorIndents/>
        <w:rPr>
          <w:color w:val="000000"/>
          <w:sz w:val="24"/>
          <w:szCs w:val="24"/>
          <w:lang w:val="bg-BG" w:bidi="bg-BG"/>
        </w:rPr>
      </w:pPr>
      <w:r w:rsidRPr="0076232E">
        <w:rPr>
          <w:color w:val="000000"/>
          <w:sz w:val="24"/>
          <w:szCs w:val="24"/>
          <w:lang w:val="bg-BG" w:bidi="bg-BG"/>
        </w:rPr>
        <w:t>Тестването ще се осъществява с помощта на координатори в лечебните заведения и училищата. При възможност лечебните заведения ще осигуряват мобилни екипи за посещение и извършване на скрининга на място в училищата.</w:t>
      </w:r>
    </w:p>
    <w:p w14:paraId="2E1FB74E" w14:textId="77777777" w:rsidR="00E352DD" w:rsidRPr="0076232E" w:rsidRDefault="00E352DD" w:rsidP="00E352DD">
      <w:pPr>
        <w:spacing w:before="120" w:line="240" w:lineRule="auto"/>
        <w:mirrorIndents/>
        <w:rPr>
          <w:rFonts w:eastAsia="Calibri"/>
          <w:sz w:val="24"/>
          <w:szCs w:val="24"/>
          <w:lang w:val="bg-BG"/>
        </w:rPr>
      </w:pPr>
      <w:r w:rsidRPr="0076232E">
        <w:rPr>
          <w:rFonts w:eastAsia="Calibri"/>
          <w:sz w:val="24"/>
          <w:szCs w:val="24"/>
          <w:lang w:val="bg-BG"/>
        </w:rPr>
        <w:t>Финансовите средства, необходими за реализиране на програмата са до 200 000 лв.</w:t>
      </w:r>
    </w:p>
    <w:p w14:paraId="11C7E93B" w14:textId="77777777" w:rsidR="00E352DD" w:rsidRPr="0076232E" w:rsidRDefault="00E352DD" w:rsidP="00E352DD">
      <w:pPr>
        <w:numPr>
          <w:ilvl w:val="0"/>
          <w:numId w:val="47"/>
        </w:numPr>
        <w:spacing w:before="120" w:after="0" w:line="240" w:lineRule="auto"/>
        <w:ind w:left="0" w:firstLine="283"/>
        <w:mirrorIndents/>
        <w:jc w:val="both"/>
        <w:rPr>
          <w:sz w:val="24"/>
          <w:szCs w:val="24"/>
          <w:lang w:val="bg-BG" w:eastAsia="x-none"/>
        </w:rPr>
      </w:pPr>
      <w:r w:rsidRPr="0076232E">
        <w:rPr>
          <w:b/>
          <w:i/>
          <w:iCs/>
          <w:caps/>
          <w:color w:val="000000"/>
          <w:sz w:val="24"/>
          <w:szCs w:val="24"/>
          <w:lang w:val="bg-BG" w:bidi="bg-BG"/>
        </w:rPr>
        <w:t>подпрограма: „Финансово подпомагане на семейства и двойки с репродуктимни проблеми, нуждаещи се он ин витро процедури с донорски яйцеклетки“.</w:t>
      </w:r>
    </w:p>
    <w:p w14:paraId="3D4B3CC3" w14:textId="77777777" w:rsidR="00E352DD" w:rsidRPr="0076232E" w:rsidRDefault="00E352DD" w:rsidP="00E352DD">
      <w:pPr>
        <w:spacing w:before="120" w:line="240" w:lineRule="auto"/>
        <w:mirrorIndents/>
        <w:rPr>
          <w:rFonts w:eastAsia="Calibri"/>
          <w:sz w:val="24"/>
          <w:szCs w:val="24"/>
          <w:lang w:val="bg-BG" w:eastAsia="en-US"/>
        </w:rPr>
      </w:pPr>
      <w:r w:rsidRPr="0076232E">
        <w:rPr>
          <w:sz w:val="24"/>
          <w:szCs w:val="24"/>
          <w:lang w:val="bg-BG" w:eastAsia="x-none"/>
        </w:rPr>
        <w:t>Програмата работи о</w:t>
      </w:r>
      <w:r w:rsidRPr="0076232E">
        <w:rPr>
          <w:rFonts w:eastAsia="Calibri"/>
          <w:sz w:val="24"/>
          <w:szCs w:val="24"/>
          <w:lang w:val="bg-BG" w:eastAsia="en-US"/>
        </w:rPr>
        <w:t xml:space="preserve">т декември 2015 г. Целта на програмата е да подпомага жени с репродуктивни проблеми. Създадена е съвместно с организациите "Майки за донорство" и "Искам бебе". До момента по нея са разплатени общо 200 650 лв., а само през 2020 г. са извършени донорски инвитро процедури на стойност 37 342 лв. </w:t>
      </w:r>
    </w:p>
    <w:p w14:paraId="0A66C924" w14:textId="77777777" w:rsidR="00E352DD" w:rsidRPr="0076232E" w:rsidRDefault="00E352DD" w:rsidP="00E352DD">
      <w:pPr>
        <w:spacing w:before="120" w:line="240" w:lineRule="auto"/>
        <w:mirrorIndents/>
        <w:rPr>
          <w:rFonts w:eastAsia="Calibri"/>
          <w:sz w:val="24"/>
          <w:szCs w:val="24"/>
          <w:lang w:val="bg-BG" w:eastAsia="en-US"/>
        </w:rPr>
      </w:pPr>
      <w:r w:rsidRPr="0076232E">
        <w:rPr>
          <w:rFonts w:eastAsia="Calibri"/>
          <w:sz w:val="24"/>
          <w:szCs w:val="24"/>
          <w:lang w:val="bg-BG" w:eastAsia="en-US"/>
        </w:rPr>
        <w:t xml:space="preserve">Предвидените средства са до 70 000 лева. </w:t>
      </w:r>
    </w:p>
    <w:p w14:paraId="243F2007" w14:textId="77777777" w:rsidR="00E352DD" w:rsidRPr="0076232E" w:rsidRDefault="00E352DD" w:rsidP="00E352DD">
      <w:pPr>
        <w:numPr>
          <w:ilvl w:val="0"/>
          <w:numId w:val="47"/>
        </w:numPr>
        <w:spacing w:before="120" w:after="0" w:line="240" w:lineRule="auto"/>
        <w:ind w:left="0" w:firstLine="142"/>
        <w:mirrorIndents/>
        <w:jc w:val="both"/>
        <w:rPr>
          <w:rFonts w:eastAsia="Calibri"/>
          <w:b/>
          <w:i/>
          <w:caps/>
          <w:color w:val="000000"/>
          <w:sz w:val="24"/>
          <w:szCs w:val="24"/>
          <w:lang w:val="bg-BG"/>
        </w:rPr>
      </w:pPr>
      <w:r w:rsidRPr="0076232E">
        <w:rPr>
          <w:b/>
          <w:i/>
          <w:iCs/>
          <w:caps/>
          <w:color w:val="000000"/>
          <w:sz w:val="24"/>
          <w:szCs w:val="24"/>
          <w:lang w:val="bg-BG" w:bidi="bg-BG"/>
        </w:rPr>
        <w:t>подпрограма: „</w:t>
      </w:r>
      <w:r w:rsidRPr="0076232E">
        <w:rPr>
          <w:rFonts w:eastAsia="Calibri"/>
          <w:b/>
          <w:i/>
          <w:caps/>
          <w:color w:val="000000"/>
          <w:sz w:val="24"/>
          <w:szCs w:val="24"/>
          <w:lang w:val="bg-BG"/>
        </w:rPr>
        <w:t>Скринингово изследване за рак на млечната жлеза /РМЖ/“</w:t>
      </w:r>
    </w:p>
    <w:p w14:paraId="24BC7DFE" w14:textId="77777777" w:rsidR="00E352DD" w:rsidRPr="0076232E" w:rsidRDefault="00E352DD" w:rsidP="00E352DD">
      <w:pPr>
        <w:spacing w:before="120" w:line="240" w:lineRule="auto"/>
        <w:mirrorIndents/>
        <w:rPr>
          <w:rFonts w:eastAsia="Calibri"/>
          <w:b/>
          <w:i/>
          <w:caps/>
          <w:color w:val="000000"/>
          <w:sz w:val="24"/>
          <w:szCs w:val="24"/>
          <w:lang w:val="bg-BG"/>
        </w:rPr>
      </w:pPr>
      <w:r w:rsidRPr="0076232E">
        <w:rPr>
          <w:sz w:val="24"/>
          <w:szCs w:val="24"/>
        </w:rPr>
        <w:t xml:space="preserve">Отчитайки значимостта на редовната профилактика за навременното откриване на болестта и провеждане на животоспасяващо лечение Столична община за </w:t>
      </w:r>
      <w:r w:rsidRPr="0076232E">
        <w:rPr>
          <w:sz w:val="24"/>
          <w:szCs w:val="24"/>
          <w:lang w:val="bg-BG"/>
        </w:rPr>
        <w:t>шеста</w:t>
      </w:r>
      <w:r w:rsidRPr="0076232E">
        <w:rPr>
          <w:sz w:val="24"/>
          <w:szCs w:val="24"/>
        </w:rPr>
        <w:t xml:space="preserve"> поредна година насоч</w:t>
      </w:r>
      <w:r w:rsidRPr="0076232E">
        <w:rPr>
          <w:sz w:val="24"/>
          <w:szCs w:val="24"/>
          <w:lang w:val="bg-BG"/>
        </w:rPr>
        <w:t>ва</w:t>
      </w:r>
      <w:r w:rsidRPr="0076232E">
        <w:rPr>
          <w:sz w:val="24"/>
          <w:szCs w:val="24"/>
        </w:rPr>
        <w:t xml:space="preserve"> усилията си за осъществяване на скринингово изследване за рак на млечната жлеза сред определени групи жени. Основната цел е изграждане на успешен модел на профилактика и ранно диагностициране на заболяването.</w:t>
      </w:r>
    </w:p>
    <w:p w14:paraId="6E3A3DC1" w14:textId="77777777" w:rsidR="00E352DD" w:rsidRPr="0076232E" w:rsidRDefault="00E352DD" w:rsidP="00E352DD">
      <w:pPr>
        <w:spacing w:before="120" w:line="240" w:lineRule="auto"/>
        <w:mirrorIndents/>
        <w:rPr>
          <w:sz w:val="24"/>
          <w:szCs w:val="24"/>
          <w:lang w:val="bg-BG" w:eastAsia="x-none"/>
        </w:rPr>
      </w:pPr>
      <w:r w:rsidRPr="0076232E">
        <w:rPr>
          <w:rFonts w:eastAsia="Calibri"/>
          <w:sz w:val="24"/>
          <w:szCs w:val="24"/>
          <w:lang w:val="bg-BG" w:eastAsia="en-US"/>
        </w:rPr>
        <w:t xml:space="preserve">Предвидените средства са до 200 000 лева.  </w:t>
      </w:r>
    </w:p>
    <w:p w14:paraId="3D4ADABF" w14:textId="77777777" w:rsidR="00E352DD" w:rsidRPr="00E81A6E" w:rsidRDefault="00E352DD" w:rsidP="00F55B06">
      <w:pPr>
        <w:spacing w:after="0" w:line="240" w:lineRule="auto"/>
        <w:ind w:firstLine="720"/>
        <w:contextualSpacing/>
        <w:rPr>
          <w:rFonts w:ascii="Times New Roman" w:hAnsi="Times New Roman" w:cs="Times New Roman"/>
          <w:sz w:val="24"/>
          <w:szCs w:val="24"/>
          <w:lang w:val="bg-BG" w:eastAsia="x-none"/>
        </w:rPr>
      </w:pPr>
    </w:p>
    <w:sectPr w:rsidR="00E352DD" w:rsidRPr="00E81A6E" w:rsidSect="000A59E5">
      <w:footerReference w:type="default" r:id="rId15"/>
      <w:pgSz w:w="12240" w:h="15840"/>
      <w:pgMar w:top="1417" w:right="11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BF2C" w14:textId="77777777" w:rsidR="00AD2FD1" w:rsidRDefault="00AD2FD1">
      <w:pPr>
        <w:spacing w:after="0"/>
      </w:pPr>
      <w:r>
        <w:separator/>
      </w:r>
    </w:p>
  </w:endnote>
  <w:endnote w:type="continuationSeparator" w:id="0">
    <w:p w14:paraId="4B5F5635" w14:textId="77777777" w:rsidR="00AD2FD1" w:rsidRDefault="00AD2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barU">
    <w:altName w:val="Courier New"/>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ebar">
    <w:altName w:val="Agency FB"/>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j-ea">
    <w:panose1 w:val="00000000000000000000"/>
    <w:charset w:val="00"/>
    <w:family w:val="roman"/>
    <w:notTrueType/>
    <w:pitch w:val="default"/>
  </w:font>
  <w:font w:name="MyriadPro-Regular">
    <w:altName w:val="Times New Roman"/>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0A461" w14:textId="2CF9765C" w:rsidR="00EE0374" w:rsidRDefault="00EE037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17</w:t>
    </w:r>
    <w:r>
      <w:rPr>
        <w:caps/>
        <w:noProof/>
        <w:color w:val="4F81BD" w:themeColor="accent1"/>
      </w:rPr>
      <w:fldChar w:fldCharType="end"/>
    </w:r>
  </w:p>
  <w:p w14:paraId="26156E0D" w14:textId="77777777" w:rsidR="00EE0374" w:rsidRDefault="00EE0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B587" w14:textId="77777777" w:rsidR="00AD2FD1" w:rsidRDefault="00AD2FD1">
      <w:pPr>
        <w:spacing w:after="0"/>
      </w:pPr>
      <w:r>
        <w:separator/>
      </w:r>
    </w:p>
  </w:footnote>
  <w:footnote w:type="continuationSeparator" w:id="0">
    <w:p w14:paraId="0E02B581" w14:textId="77777777" w:rsidR="00AD2FD1" w:rsidRDefault="00AD2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87"/>
    <w:multiLevelType w:val="hybridMultilevel"/>
    <w:tmpl w:val="85EC4EC8"/>
    <w:lvl w:ilvl="0" w:tplc="FAA4FBD0">
      <w:numFmt w:val="bullet"/>
      <w:lvlText w:val="-"/>
      <w:lvlJc w:val="left"/>
      <w:pPr>
        <w:ind w:left="360" w:hanging="360"/>
      </w:pPr>
      <w:rPr>
        <w:rFonts w:ascii="Times New Roman" w:eastAsia="Times New Roman" w:hAnsi="Times New Roman"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 w15:restartNumberingAfterBreak="0">
    <w:nsid w:val="027F6865"/>
    <w:multiLevelType w:val="hybridMultilevel"/>
    <w:tmpl w:val="540A97B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FE50A3B"/>
    <w:multiLevelType w:val="hybridMultilevel"/>
    <w:tmpl w:val="571C32F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1C27413"/>
    <w:multiLevelType w:val="hybridMultilevel"/>
    <w:tmpl w:val="C0F4F72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1228491F"/>
    <w:multiLevelType w:val="hybridMultilevel"/>
    <w:tmpl w:val="B8C607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6CE2287"/>
    <w:multiLevelType w:val="hybridMultilevel"/>
    <w:tmpl w:val="93709FC2"/>
    <w:lvl w:ilvl="0" w:tplc="FAA4FBD0">
      <w:numFmt w:val="bullet"/>
      <w:lvlText w:val="-"/>
      <w:lvlJc w:val="left"/>
      <w:pPr>
        <w:ind w:left="360" w:hanging="360"/>
      </w:pPr>
      <w:rPr>
        <w:rFonts w:ascii="Times New Roman" w:eastAsia="Times New Roman" w:hAnsi="Times New Roman" w:hint="default"/>
      </w:rPr>
    </w:lvl>
    <w:lvl w:ilvl="1" w:tplc="EB825CF4">
      <w:start w:val="1"/>
      <w:numFmt w:val="bullet"/>
      <w:lvlText w:val="-"/>
      <w:lvlJc w:val="left"/>
      <w:pPr>
        <w:tabs>
          <w:tab w:val="num" w:pos="1080"/>
        </w:tabs>
        <w:ind w:left="1080" w:hanging="360"/>
      </w:pPr>
      <w:rPr>
        <w:rFonts w:ascii="Times New Roman" w:hAnsi="Times New Roman" w:cs="Times New Roman"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6" w15:restartNumberingAfterBreak="0">
    <w:nsid w:val="179F598C"/>
    <w:multiLevelType w:val="hybridMultilevel"/>
    <w:tmpl w:val="10644E1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7DA3D98"/>
    <w:multiLevelType w:val="multilevel"/>
    <w:tmpl w:val="0CB27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1E64D0"/>
    <w:multiLevelType w:val="hybridMultilevel"/>
    <w:tmpl w:val="8CAE6D5C"/>
    <w:lvl w:ilvl="0" w:tplc="04020001">
      <w:start w:val="1"/>
      <w:numFmt w:val="bullet"/>
      <w:lvlText w:val=""/>
      <w:lvlJc w:val="left"/>
      <w:pPr>
        <w:ind w:left="360" w:hanging="360"/>
      </w:pPr>
      <w:rPr>
        <w:rFonts w:ascii="Symbol" w:hAnsi="Symbol" w:hint="default"/>
      </w:rPr>
    </w:lvl>
    <w:lvl w:ilvl="1" w:tplc="04020001">
      <w:start w:val="1"/>
      <w:numFmt w:val="bullet"/>
      <w:lvlText w:val=""/>
      <w:lvlJc w:val="left"/>
      <w:pPr>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1A643509"/>
    <w:multiLevelType w:val="hybridMultilevel"/>
    <w:tmpl w:val="02888A2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1B6A5F99"/>
    <w:multiLevelType w:val="hybridMultilevel"/>
    <w:tmpl w:val="8B8CEDF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263152C4"/>
    <w:multiLevelType w:val="hybridMultilevel"/>
    <w:tmpl w:val="F9C805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B3D74BF"/>
    <w:multiLevelType w:val="hybridMultilevel"/>
    <w:tmpl w:val="185E23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2C8819BC"/>
    <w:multiLevelType w:val="hybridMultilevel"/>
    <w:tmpl w:val="D9460ED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2E51283F"/>
    <w:multiLevelType w:val="hybridMultilevel"/>
    <w:tmpl w:val="757C98F0"/>
    <w:lvl w:ilvl="0" w:tplc="04020001">
      <w:start w:val="1"/>
      <w:numFmt w:val="bullet"/>
      <w:lvlText w:val=""/>
      <w:lvlJc w:val="left"/>
      <w:pPr>
        <w:ind w:left="1080" w:hanging="360"/>
      </w:pPr>
      <w:rPr>
        <w:rFonts w:ascii="Symbol" w:hAnsi="Symbol" w:hint="default"/>
      </w:rPr>
    </w:lvl>
    <w:lvl w:ilvl="1" w:tplc="04020001">
      <w:start w:val="1"/>
      <w:numFmt w:val="bullet"/>
      <w:lvlText w:val=""/>
      <w:lvlJc w:val="left"/>
      <w:pPr>
        <w:ind w:left="1800" w:hanging="360"/>
      </w:pPr>
      <w:rPr>
        <w:rFonts w:ascii="Symbol" w:hAnsi="Symbol"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2EC31C2D"/>
    <w:multiLevelType w:val="hybridMultilevel"/>
    <w:tmpl w:val="5BE60D28"/>
    <w:lvl w:ilvl="0" w:tplc="04020001">
      <w:start w:val="1"/>
      <w:numFmt w:val="bullet"/>
      <w:lvlText w:val=""/>
      <w:lvlJc w:val="left"/>
      <w:pPr>
        <w:ind w:left="1440" w:hanging="360"/>
      </w:pPr>
      <w:rPr>
        <w:rFonts w:ascii="Symbol" w:hAnsi="Symbol" w:hint="default"/>
      </w:rPr>
    </w:lvl>
    <w:lvl w:ilvl="1" w:tplc="03CAA27E">
      <w:numFmt w:val="bullet"/>
      <w:lvlText w:val="–"/>
      <w:lvlJc w:val="left"/>
      <w:pPr>
        <w:ind w:left="2160" w:hanging="360"/>
      </w:pPr>
      <w:rPr>
        <w:rFonts w:ascii="Times New Roman" w:eastAsia="Times New Roman" w:hAnsi="Times New Roman" w:cs="Times New Roman"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2FBE5915"/>
    <w:multiLevelType w:val="hybridMultilevel"/>
    <w:tmpl w:val="8722AE52"/>
    <w:lvl w:ilvl="0" w:tplc="A7C0FF8C">
      <w:start w:val="13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15:restartNumberingAfterBreak="0">
    <w:nsid w:val="30253882"/>
    <w:multiLevelType w:val="hybridMultilevel"/>
    <w:tmpl w:val="361A06BC"/>
    <w:lvl w:ilvl="0" w:tplc="A7C0FF8C">
      <w:start w:val="139"/>
      <w:numFmt w:val="bullet"/>
      <w:lvlText w:val="-"/>
      <w:lvlJc w:val="left"/>
      <w:pPr>
        <w:ind w:left="360" w:hanging="360"/>
      </w:pPr>
      <w:rPr>
        <w:rFonts w:ascii="Times New Roman" w:eastAsia="Times New Roman" w:hAnsi="Times New Roman" w:hint="default"/>
      </w:rPr>
    </w:lvl>
    <w:lvl w:ilvl="1" w:tplc="FAA4FBD0">
      <w:numFmt w:val="bullet"/>
      <w:lvlText w:val="-"/>
      <w:lvlJc w:val="left"/>
      <w:pPr>
        <w:ind w:left="1080" w:hanging="360"/>
      </w:pPr>
      <w:rPr>
        <w:rFonts w:ascii="Times New Roman" w:eastAsia="Times New Roman" w:hAnsi="Times New Roman" w:hint="default"/>
      </w:rPr>
    </w:lvl>
    <w:lvl w:ilvl="2" w:tplc="A7C0FF8C">
      <w:start w:val="139"/>
      <w:numFmt w:val="bullet"/>
      <w:lvlText w:val="-"/>
      <w:lvlJc w:val="left"/>
      <w:pPr>
        <w:ind w:left="1800" w:hanging="360"/>
      </w:pPr>
      <w:rPr>
        <w:rFonts w:ascii="Times New Roman" w:eastAsia="Times New Roman" w:hAnsi="Times New Roman"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8" w15:restartNumberingAfterBreak="0">
    <w:nsid w:val="3308704E"/>
    <w:multiLevelType w:val="hybridMultilevel"/>
    <w:tmpl w:val="66C0588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369942CE"/>
    <w:multiLevelType w:val="hybridMultilevel"/>
    <w:tmpl w:val="3424A83C"/>
    <w:lvl w:ilvl="0" w:tplc="76C00826">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3BAE3132"/>
    <w:multiLevelType w:val="hybridMultilevel"/>
    <w:tmpl w:val="2DA4696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3DA17880"/>
    <w:multiLevelType w:val="hybridMultilevel"/>
    <w:tmpl w:val="1F1A819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4040257F"/>
    <w:multiLevelType w:val="hybridMultilevel"/>
    <w:tmpl w:val="B2BC44E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40FF3DE9"/>
    <w:multiLevelType w:val="hybridMultilevel"/>
    <w:tmpl w:val="CC5EBE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41726452"/>
    <w:multiLevelType w:val="hybridMultilevel"/>
    <w:tmpl w:val="E622381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426B52B8"/>
    <w:multiLevelType w:val="hybridMultilevel"/>
    <w:tmpl w:val="4E941DD0"/>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26" w15:restartNumberingAfterBreak="0">
    <w:nsid w:val="43567100"/>
    <w:multiLevelType w:val="hybridMultilevel"/>
    <w:tmpl w:val="91B0A7C8"/>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468069F3"/>
    <w:multiLevelType w:val="hybridMultilevel"/>
    <w:tmpl w:val="F65CF30C"/>
    <w:lvl w:ilvl="0" w:tplc="04020001">
      <w:start w:val="1"/>
      <w:numFmt w:val="bullet"/>
      <w:lvlText w:val=""/>
      <w:lvlJc w:val="left"/>
      <w:pPr>
        <w:ind w:left="360" w:hanging="360"/>
      </w:pPr>
      <w:rPr>
        <w:rFonts w:ascii="Symbol" w:hAnsi="Symbol" w:hint="default"/>
        <w:b w:val="0"/>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7BD6513"/>
    <w:multiLevelType w:val="hybridMultilevel"/>
    <w:tmpl w:val="5BFA18F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48854F23"/>
    <w:multiLevelType w:val="hybridMultilevel"/>
    <w:tmpl w:val="930CBB76"/>
    <w:lvl w:ilvl="0" w:tplc="A7C0FF8C">
      <w:start w:val="139"/>
      <w:numFmt w:val="bullet"/>
      <w:lvlText w:val="-"/>
      <w:lvlJc w:val="left"/>
      <w:pPr>
        <w:ind w:left="1080" w:hanging="360"/>
      </w:pPr>
      <w:rPr>
        <w:rFonts w:ascii="Times New Roman" w:eastAsia="Times New Roman" w:hAnsi="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30" w15:restartNumberingAfterBreak="0">
    <w:nsid w:val="516A0F48"/>
    <w:multiLevelType w:val="hybridMultilevel"/>
    <w:tmpl w:val="D512B95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03629D"/>
    <w:multiLevelType w:val="hybridMultilevel"/>
    <w:tmpl w:val="F730B0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5A6530CA"/>
    <w:multiLevelType w:val="hybridMultilevel"/>
    <w:tmpl w:val="C14282A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4" w15:restartNumberingAfterBreak="0">
    <w:nsid w:val="60BD7663"/>
    <w:multiLevelType w:val="hybridMultilevel"/>
    <w:tmpl w:val="EF4026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3046953"/>
    <w:multiLevelType w:val="multilevel"/>
    <w:tmpl w:val="C6EC049E"/>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2B1497"/>
    <w:multiLevelType w:val="hybridMultilevel"/>
    <w:tmpl w:val="12B4D30C"/>
    <w:lvl w:ilvl="0" w:tplc="1D328296">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76B4124"/>
    <w:multiLevelType w:val="hybridMultilevel"/>
    <w:tmpl w:val="6EFE8B7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8" w15:restartNumberingAfterBreak="0">
    <w:nsid w:val="6878187B"/>
    <w:multiLevelType w:val="hybridMultilevel"/>
    <w:tmpl w:val="DD6CFB3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15:restartNumberingAfterBreak="0">
    <w:nsid w:val="69DB46D9"/>
    <w:multiLevelType w:val="hybridMultilevel"/>
    <w:tmpl w:val="09742A5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6A285004"/>
    <w:multiLevelType w:val="hybridMultilevel"/>
    <w:tmpl w:val="D4C63C3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6CF42AA1"/>
    <w:multiLevelType w:val="hybridMultilevel"/>
    <w:tmpl w:val="53EE31D8"/>
    <w:lvl w:ilvl="0" w:tplc="04020001">
      <w:start w:val="1"/>
      <w:numFmt w:val="bullet"/>
      <w:lvlText w:val=""/>
      <w:lvlJc w:val="left"/>
      <w:pPr>
        <w:ind w:left="12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2" w15:restartNumberingAfterBreak="0">
    <w:nsid w:val="6E520EC3"/>
    <w:multiLevelType w:val="hybridMultilevel"/>
    <w:tmpl w:val="F0C2EE1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3" w15:restartNumberingAfterBreak="0">
    <w:nsid w:val="70356288"/>
    <w:multiLevelType w:val="hybridMultilevel"/>
    <w:tmpl w:val="9ED27AD2"/>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3E67EE3"/>
    <w:multiLevelType w:val="hybridMultilevel"/>
    <w:tmpl w:val="62B2D70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5" w15:restartNumberingAfterBreak="0">
    <w:nsid w:val="740D5A2F"/>
    <w:multiLevelType w:val="hybridMultilevel"/>
    <w:tmpl w:val="2F38DA5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75660AD3"/>
    <w:multiLevelType w:val="hybridMultilevel"/>
    <w:tmpl w:val="125CBD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627067E"/>
    <w:multiLevelType w:val="hybridMultilevel"/>
    <w:tmpl w:val="81A8A9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cs="Symbol" w:hint="default"/>
        <w:color w:val="5B9BD5"/>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7DBD1BB2"/>
    <w:multiLevelType w:val="hybridMultilevel"/>
    <w:tmpl w:val="71E26D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0" w15:restartNumberingAfterBreak="0">
    <w:nsid w:val="7E821113"/>
    <w:multiLevelType w:val="hybridMultilevel"/>
    <w:tmpl w:val="61EE712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48"/>
  </w:num>
  <w:num w:numId="2">
    <w:abstractNumId w:val="31"/>
  </w:num>
  <w:num w:numId="3">
    <w:abstractNumId w:val="5"/>
  </w:num>
  <w:num w:numId="4">
    <w:abstractNumId w:val="0"/>
  </w:num>
  <w:num w:numId="5">
    <w:abstractNumId w:val="16"/>
  </w:num>
  <w:num w:numId="6">
    <w:abstractNumId w:val="7"/>
  </w:num>
  <w:num w:numId="7">
    <w:abstractNumId w:val="46"/>
  </w:num>
  <w:num w:numId="8">
    <w:abstractNumId w:val="49"/>
  </w:num>
  <w:num w:numId="9">
    <w:abstractNumId w:val="22"/>
  </w:num>
  <w:num w:numId="10">
    <w:abstractNumId w:val="44"/>
  </w:num>
  <w:num w:numId="11">
    <w:abstractNumId w:val="50"/>
  </w:num>
  <w:num w:numId="12">
    <w:abstractNumId w:val="13"/>
  </w:num>
  <w:num w:numId="13">
    <w:abstractNumId w:val="29"/>
  </w:num>
  <w:num w:numId="14">
    <w:abstractNumId w:val="9"/>
  </w:num>
  <w:num w:numId="15">
    <w:abstractNumId w:val="17"/>
  </w:num>
  <w:num w:numId="16">
    <w:abstractNumId w:val="20"/>
  </w:num>
  <w:num w:numId="17">
    <w:abstractNumId w:val="25"/>
  </w:num>
  <w:num w:numId="18">
    <w:abstractNumId w:val="6"/>
  </w:num>
  <w:num w:numId="19">
    <w:abstractNumId w:val="12"/>
  </w:num>
  <w:num w:numId="20">
    <w:abstractNumId w:val="23"/>
  </w:num>
  <w:num w:numId="21">
    <w:abstractNumId w:val="40"/>
  </w:num>
  <w:num w:numId="22">
    <w:abstractNumId w:val="28"/>
  </w:num>
  <w:num w:numId="23">
    <w:abstractNumId w:val="33"/>
  </w:num>
  <w:num w:numId="24">
    <w:abstractNumId w:val="41"/>
  </w:num>
  <w:num w:numId="25">
    <w:abstractNumId w:val="42"/>
  </w:num>
  <w:num w:numId="26">
    <w:abstractNumId w:val="34"/>
  </w:num>
  <w:num w:numId="27">
    <w:abstractNumId w:val="45"/>
  </w:num>
  <w:num w:numId="28">
    <w:abstractNumId w:val="32"/>
  </w:num>
  <w:num w:numId="29">
    <w:abstractNumId w:val="18"/>
  </w:num>
  <w:num w:numId="30">
    <w:abstractNumId w:val="15"/>
  </w:num>
  <w:num w:numId="31">
    <w:abstractNumId w:val="3"/>
  </w:num>
  <w:num w:numId="32">
    <w:abstractNumId w:val="4"/>
  </w:num>
  <w:num w:numId="33">
    <w:abstractNumId w:val="21"/>
  </w:num>
  <w:num w:numId="34">
    <w:abstractNumId w:val="11"/>
  </w:num>
  <w:num w:numId="35">
    <w:abstractNumId w:val="24"/>
  </w:num>
  <w:num w:numId="36">
    <w:abstractNumId w:val="2"/>
  </w:num>
  <w:num w:numId="37">
    <w:abstractNumId w:val="38"/>
  </w:num>
  <w:num w:numId="38">
    <w:abstractNumId w:val="30"/>
  </w:num>
  <w:num w:numId="39">
    <w:abstractNumId w:val="10"/>
  </w:num>
  <w:num w:numId="40">
    <w:abstractNumId w:val="26"/>
  </w:num>
  <w:num w:numId="41">
    <w:abstractNumId w:val="8"/>
  </w:num>
  <w:num w:numId="42">
    <w:abstractNumId w:val="43"/>
  </w:num>
  <w:num w:numId="43">
    <w:abstractNumId w:val="14"/>
  </w:num>
  <w:num w:numId="44">
    <w:abstractNumId w:val="1"/>
  </w:num>
  <w:num w:numId="45">
    <w:abstractNumId w:val="37"/>
  </w:num>
  <w:num w:numId="46">
    <w:abstractNumId w:val="19"/>
  </w:num>
  <w:num w:numId="47">
    <w:abstractNumId w:val="36"/>
  </w:num>
  <w:num w:numId="48">
    <w:abstractNumId w:val="47"/>
  </w:num>
  <w:num w:numId="49">
    <w:abstractNumId w:val="39"/>
  </w:num>
  <w:num w:numId="50">
    <w:abstractNumId w:val="27"/>
  </w:num>
  <w:num w:numId="51">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defaultTabStop w:val="720"/>
  <w:hyphenationZone w:val="425"/>
  <w:doNotHyphenateCaps/>
  <w:defaultTableStyle w:val="Generaltable"/>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63"/>
    <w:rsid w:val="000026AF"/>
    <w:rsid w:val="000061E7"/>
    <w:rsid w:val="000070B0"/>
    <w:rsid w:val="0001074E"/>
    <w:rsid w:val="00012183"/>
    <w:rsid w:val="00014741"/>
    <w:rsid w:val="000153C1"/>
    <w:rsid w:val="00015C57"/>
    <w:rsid w:val="000215C1"/>
    <w:rsid w:val="00021E54"/>
    <w:rsid w:val="00024CB4"/>
    <w:rsid w:val="00026DA5"/>
    <w:rsid w:val="000325A0"/>
    <w:rsid w:val="0003344C"/>
    <w:rsid w:val="00033906"/>
    <w:rsid w:val="000349EF"/>
    <w:rsid w:val="00036487"/>
    <w:rsid w:val="00040837"/>
    <w:rsid w:val="000424EE"/>
    <w:rsid w:val="00045106"/>
    <w:rsid w:val="00046772"/>
    <w:rsid w:val="00047913"/>
    <w:rsid w:val="000517F4"/>
    <w:rsid w:val="00052181"/>
    <w:rsid w:val="000528E0"/>
    <w:rsid w:val="00052FA6"/>
    <w:rsid w:val="00053852"/>
    <w:rsid w:val="0006496D"/>
    <w:rsid w:val="00067631"/>
    <w:rsid w:val="00071FB5"/>
    <w:rsid w:val="00074192"/>
    <w:rsid w:val="00074265"/>
    <w:rsid w:val="0007515D"/>
    <w:rsid w:val="00075C06"/>
    <w:rsid w:val="00077A95"/>
    <w:rsid w:val="00080248"/>
    <w:rsid w:val="000813CA"/>
    <w:rsid w:val="00081927"/>
    <w:rsid w:val="000864C6"/>
    <w:rsid w:val="000864DF"/>
    <w:rsid w:val="00086F58"/>
    <w:rsid w:val="00090EF4"/>
    <w:rsid w:val="00096C21"/>
    <w:rsid w:val="000A0638"/>
    <w:rsid w:val="000A28C6"/>
    <w:rsid w:val="000A45CA"/>
    <w:rsid w:val="000A58BD"/>
    <w:rsid w:val="000A59E5"/>
    <w:rsid w:val="000B150F"/>
    <w:rsid w:val="000B30F6"/>
    <w:rsid w:val="000B6377"/>
    <w:rsid w:val="000C005D"/>
    <w:rsid w:val="000C128C"/>
    <w:rsid w:val="000C790C"/>
    <w:rsid w:val="000D1383"/>
    <w:rsid w:val="000D4250"/>
    <w:rsid w:val="000D5AA6"/>
    <w:rsid w:val="000D6011"/>
    <w:rsid w:val="000D65A2"/>
    <w:rsid w:val="000E1403"/>
    <w:rsid w:val="000E2BC0"/>
    <w:rsid w:val="000E33AA"/>
    <w:rsid w:val="000E4128"/>
    <w:rsid w:val="000E493E"/>
    <w:rsid w:val="000F541F"/>
    <w:rsid w:val="000F54BA"/>
    <w:rsid w:val="000F75B7"/>
    <w:rsid w:val="001004DF"/>
    <w:rsid w:val="0010157F"/>
    <w:rsid w:val="0010349D"/>
    <w:rsid w:val="001078F6"/>
    <w:rsid w:val="00111833"/>
    <w:rsid w:val="00111D81"/>
    <w:rsid w:val="00116711"/>
    <w:rsid w:val="001177B2"/>
    <w:rsid w:val="00117C3A"/>
    <w:rsid w:val="00120EAF"/>
    <w:rsid w:val="00125F69"/>
    <w:rsid w:val="00126A0B"/>
    <w:rsid w:val="00127DED"/>
    <w:rsid w:val="00130244"/>
    <w:rsid w:val="00130A85"/>
    <w:rsid w:val="00130B07"/>
    <w:rsid w:val="00130B13"/>
    <w:rsid w:val="001311A1"/>
    <w:rsid w:val="001313FE"/>
    <w:rsid w:val="00132608"/>
    <w:rsid w:val="00133104"/>
    <w:rsid w:val="00142FB4"/>
    <w:rsid w:val="0014535E"/>
    <w:rsid w:val="00147DB3"/>
    <w:rsid w:val="0015037F"/>
    <w:rsid w:val="00151569"/>
    <w:rsid w:val="00151F62"/>
    <w:rsid w:val="001532A7"/>
    <w:rsid w:val="0015370A"/>
    <w:rsid w:val="00154782"/>
    <w:rsid w:val="0015498C"/>
    <w:rsid w:val="0015620E"/>
    <w:rsid w:val="00157EAD"/>
    <w:rsid w:val="00160DD7"/>
    <w:rsid w:val="00162DF0"/>
    <w:rsid w:val="00162FB7"/>
    <w:rsid w:val="0016464B"/>
    <w:rsid w:val="00165878"/>
    <w:rsid w:val="00166195"/>
    <w:rsid w:val="001662BF"/>
    <w:rsid w:val="00166CFC"/>
    <w:rsid w:val="00170E1E"/>
    <w:rsid w:val="00171848"/>
    <w:rsid w:val="00171D10"/>
    <w:rsid w:val="001723AD"/>
    <w:rsid w:val="0017430C"/>
    <w:rsid w:val="001746DE"/>
    <w:rsid w:val="00181B12"/>
    <w:rsid w:val="00182907"/>
    <w:rsid w:val="0018615D"/>
    <w:rsid w:val="00190F8F"/>
    <w:rsid w:val="00191712"/>
    <w:rsid w:val="001923B9"/>
    <w:rsid w:val="0019313E"/>
    <w:rsid w:val="0019335F"/>
    <w:rsid w:val="001938DF"/>
    <w:rsid w:val="00193BFF"/>
    <w:rsid w:val="001A27C5"/>
    <w:rsid w:val="001A33B5"/>
    <w:rsid w:val="001A33C1"/>
    <w:rsid w:val="001A365C"/>
    <w:rsid w:val="001A41DE"/>
    <w:rsid w:val="001A60E5"/>
    <w:rsid w:val="001A64F7"/>
    <w:rsid w:val="001A7729"/>
    <w:rsid w:val="001B10B4"/>
    <w:rsid w:val="001B1887"/>
    <w:rsid w:val="001B1958"/>
    <w:rsid w:val="001B61CB"/>
    <w:rsid w:val="001B6EB8"/>
    <w:rsid w:val="001B7D99"/>
    <w:rsid w:val="001C5FD2"/>
    <w:rsid w:val="001C756F"/>
    <w:rsid w:val="001D0B79"/>
    <w:rsid w:val="001D75C7"/>
    <w:rsid w:val="001E1279"/>
    <w:rsid w:val="001E2234"/>
    <w:rsid w:val="001E4756"/>
    <w:rsid w:val="001E48DD"/>
    <w:rsid w:val="001E4E13"/>
    <w:rsid w:val="001E4F0F"/>
    <w:rsid w:val="001E547D"/>
    <w:rsid w:val="001E766A"/>
    <w:rsid w:val="001F1D3B"/>
    <w:rsid w:val="001F63C6"/>
    <w:rsid w:val="001F658A"/>
    <w:rsid w:val="001F6B2A"/>
    <w:rsid w:val="001F6C1A"/>
    <w:rsid w:val="001F7A32"/>
    <w:rsid w:val="0020021B"/>
    <w:rsid w:val="00204343"/>
    <w:rsid w:val="00205963"/>
    <w:rsid w:val="00206447"/>
    <w:rsid w:val="002115F4"/>
    <w:rsid w:val="00211F93"/>
    <w:rsid w:val="00215828"/>
    <w:rsid w:val="00215AB4"/>
    <w:rsid w:val="00220A73"/>
    <w:rsid w:val="00221329"/>
    <w:rsid w:val="00222D29"/>
    <w:rsid w:val="00224ECF"/>
    <w:rsid w:val="002254CE"/>
    <w:rsid w:val="00226085"/>
    <w:rsid w:val="00227C99"/>
    <w:rsid w:val="0023051B"/>
    <w:rsid w:val="00231A8C"/>
    <w:rsid w:val="00232771"/>
    <w:rsid w:val="002377C8"/>
    <w:rsid w:val="00237F85"/>
    <w:rsid w:val="00240FC4"/>
    <w:rsid w:val="00243526"/>
    <w:rsid w:val="00247B81"/>
    <w:rsid w:val="00253460"/>
    <w:rsid w:val="00256723"/>
    <w:rsid w:val="00256E10"/>
    <w:rsid w:val="002570B8"/>
    <w:rsid w:val="00257318"/>
    <w:rsid w:val="002605E8"/>
    <w:rsid w:val="00261416"/>
    <w:rsid w:val="00262FFB"/>
    <w:rsid w:val="00264A34"/>
    <w:rsid w:val="00266848"/>
    <w:rsid w:val="00266D8E"/>
    <w:rsid w:val="00273CEF"/>
    <w:rsid w:val="00274C52"/>
    <w:rsid w:val="002778C8"/>
    <w:rsid w:val="0028492A"/>
    <w:rsid w:val="00284FE2"/>
    <w:rsid w:val="002861DC"/>
    <w:rsid w:val="00290261"/>
    <w:rsid w:val="00290313"/>
    <w:rsid w:val="002951FE"/>
    <w:rsid w:val="00296532"/>
    <w:rsid w:val="00296705"/>
    <w:rsid w:val="002A2793"/>
    <w:rsid w:val="002A2DA8"/>
    <w:rsid w:val="002A36AF"/>
    <w:rsid w:val="002A3842"/>
    <w:rsid w:val="002B26C3"/>
    <w:rsid w:val="002B489B"/>
    <w:rsid w:val="002B64AD"/>
    <w:rsid w:val="002B7E0D"/>
    <w:rsid w:val="002C0D0D"/>
    <w:rsid w:val="002C7148"/>
    <w:rsid w:val="002C772B"/>
    <w:rsid w:val="002D0976"/>
    <w:rsid w:val="002D159C"/>
    <w:rsid w:val="002D174A"/>
    <w:rsid w:val="002D5094"/>
    <w:rsid w:val="002D682E"/>
    <w:rsid w:val="002D7288"/>
    <w:rsid w:val="002E15B1"/>
    <w:rsid w:val="002E294E"/>
    <w:rsid w:val="002E2BD7"/>
    <w:rsid w:val="002E5DEC"/>
    <w:rsid w:val="002E671F"/>
    <w:rsid w:val="002F024A"/>
    <w:rsid w:val="002F4784"/>
    <w:rsid w:val="002F7F53"/>
    <w:rsid w:val="00302B05"/>
    <w:rsid w:val="00302F3E"/>
    <w:rsid w:val="00302FE0"/>
    <w:rsid w:val="00305F0D"/>
    <w:rsid w:val="00307240"/>
    <w:rsid w:val="00307967"/>
    <w:rsid w:val="00307A3E"/>
    <w:rsid w:val="003117F2"/>
    <w:rsid w:val="00312207"/>
    <w:rsid w:val="00312540"/>
    <w:rsid w:val="00313E5F"/>
    <w:rsid w:val="00314F41"/>
    <w:rsid w:val="003150D1"/>
    <w:rsid w:val="003157FD"/>
    <w:rsid w:val="0031653C"/>
    <w:rsid w:val="0031698B"/>
    <w:rsid w:val="003173AA"/>
    <w:rsid w:val="00317989"/>
    <w:rsid w:val="003216C1"/>
    <w:rsid w:val="00322310"/>
    <w:rsid w:val="00322326"/>
    <w:rsid w:val="00324FD7"/>
    <w:rsid w:val="003255C0"/>
    <w:rsid w:val="00326039"/>
    <w:rsid w:val="00326723"/>
    <w:rsid w:val="00327A59"/>
    <w:rsid w:val="003309AA"/>
    <w:rsid w:val="00330F74"/>
    <w:rsid w:val="003339FA"/>
    <w:rsid w:val="00333A38"/>
    <w:rsid w:val="00334CB8"/>
    <w:rsid w:val="00335500"/>
    <w:rsid w:val="00335A58"/>
    <w:rsid w:val="003366DE"/>
    <w:rsid w:val="0034173A"/>
    <w:rsid w:val="0034370B"/>
    <w:rsid w:val="00343D2E"/>
    <w:rsid w:val="00344B66"/>
    <w:rsid w:val="00346020"/>
    <w:rsid w:val="00350B12"/>
    <w:rsid w:val="00352031"/>
    <w:rsid w:val="003573FD"/>
    <w:rsid w:val="0036068F"/>
    <w:rsid w:val="00362604"/>
    <w:rsid w:val="00363BDB"/>
    <w:rsid w:val="003653BD"/>
    <w:rsid w:val="0036576B"/>
    <w:rsid w:val="003661DC"/>
    <w:rsid w:val="003677B8"/>
    <w:rsid w:val="00367928"/>
    <w:rsid w:val="00367BF0"/>
    <w:rsid w:val="003700CC"/>
    <w:rsid w:val="00372011"/>
    <w:rsid w:val="0037364B"/>
    <w:rsid w:val="0037402B"/>
    <w:rsid w:val="0037617D"/>
    <w:rsid w:val="00380ACF"/>
    <w:rsid w:val="00381795"/>
    <w:rsid w:val="00383466"/>
    <w:rsid w:val="0038422B"/>
    <w:rsid w:val="00385AD5"/>
    <w:rsid w:val="00386943"/>
    <w:rsid w:val="00391B11"/>
    <w:rsid w:val="00391EFF"/>
    <w:rsid w:val="0039257F"/>
    <w:rsid w:val="00394004"/>
    <w:rsid w:val="00394E92"/>
    <w:rsid w:val="0039671B"/>
    <w:rsid w:val="00397056"/>
    <w:rsid w:val="003A0712"/>
    <w:rsid w:val="003A2EFF"/>
    <w:rsid w:val="003A607C"/>
    <w:rsid w:val="003A6545"/>
    <w:rsid w:val="003A74C5"/>
    <w:rsid w:val="003B033D"/>
    <w:rsid w:val="003B0754"/>
    <w:rsid w:val="003B30A6"/>
    <w:rsid w:val="003B4424"/>
    <w:rsid w:val="003B5160"/>
    <w:rsid w:val="003B5C49"/>
    <w:rsid w:val="003B6DDD"/>
    <w:rsid w:val="003C12EB"/>
    <w:rsid w:val="003C3FA8"/>
    <w:rsid w:val="003C3FEF"/>
    <w:rsid w:val="003C5D41"/>
    <w:rsid w:val="003D47DE"/>
    <w:rsid w:val="003D6201"/>
    <w:rsid w:val="003D6C82"/>
    <w:rsid w:val="003E26B1"/>
    <w:rsid w:val="003E36B0"/>
    <w:rsid w:val="003E3FC6"/>
    <w:rsid w:val="003E42A3"/>
    <w:rsid w:val="003E47D5"/>
    <w:rsid w:val="003E4DE0"/>
    <w:rsid w:val="003E6081"/>
    <w:rsid w:val="003E6321"/>
    <w:rsid w:val="003F02A3"/>
    <w:rsid w:val="003F0B5A"/>
    <w:rsid w:val="003F3365"/>
    <w:rsid w:val="003F392E"/>
    <w:rsid w:val="003F4428"/>
    <w:rsid w:val="003F5C85"/>
    <w:rsid w:val="003F7C60"/>
    <w:rsid w:val="00401377"/>
    <w:rsid w:val="00401EAE"/>
    <w:rsid w:val="00404064"/>
    <w:rsid w:val="004048E0"/>
    <w:rsid w:val="00405AF0"/>
    <w:rsid w:val="00411562"/>
    <w:rsid w:val="004115FB"/>
    <w:rsid w:val="00413152"/>
    <w:rsid w:val="004137B7"/>
    <w:rsid w:val="00414F89"/>
    <w:rsid w:val="00416012"/>
    <w:rsid w:val="00416851"/>
    <w:rsid w:val="00417AC7"/>
    <w:rsid w:val="00420DBB"/>
    <w:rsid w:val="004223D4"/>
    <w:rsid w:val="0042262E"/>
    <w:rsid w:val="004239CF"/>
    <w:rsid w:val="004240F3"/>
    <w:rsid w:val="00424DA9"/>
    <w:rsid w:val="00426F34"/>
    <w:rsid w:val="00427914"/>
    <w:rsid w:val="00431F15"/>
    <w:rsid w:val="004326BE"/>
    <w:rsid w:val="0043366A"/>
    <w:rsid w:val="004358F5"/>
    <w:rsid w:val="00435B39"/>
    <w:rsid w:val="0043631B"/>
    <w:rsid w:val="0044242B"/>
    <w:rsid w:val="004443A1"/>
    <w:rsid w:val="00445018"/>
    <w:rsid w:val="00447BFD"/>
    <w:rsid w:val="00452CBA"/>
    <w:rsid w:val="00457C6D"/>
    <w:rsid w:val="00460B1B"/>
    <w:rsid w:val="004618E0"/>
    <w:rsid w:val="0046437F"/>
    <w:rsid w:val="00466245"/>
    <w:rsid w:val="004670F2"/>
    <w:rsid w:val="0047274C"/>
    <w:rsid w:val="00473ADE"/>
    <w:rsid w:val="00474CFD"/>
    <w:rsid w:val="00476019"/>
    <w:rsid w:val="00477F6C"/>
    <w:rsid w:val="004829C6"/>
    <w:rsid w:val="00485C17"/>
    <w:rsid w:val="00486F69"/>
    <w:rsid w:val="00486FB5"/>
    <w:rsid w:val="0049094C"/>
    <w:rsid w:val="00491185"/>
    <w:rsid w:val="00492FE7"/>
    <w:rsid w:val="0049424C"/>
    <w:rsid w:val="00495579"/>
    <w:rsid w:val="004A3AF1"/>
    <w:rsid w:val="004A3DCE"/>
    <w:rsid w:val="004A5CD7"/>
    <w:rsid w:val="004A6026"/>
    <w:rsid w:val="004A71A8"/>
    <w:rsid w:val="004B00D1"/>
    <w:rsid w:val="004B3F0C"/>
    <w:rsid w:val="004B5741"/>
    <w:rsid w:val="004C40E6"/>
    <w:rsid w:val="004C427F"/>
    <w:rsid w:val="004C4A65"/>
    <w:rsid w:val="004C6311"/>
    <w:rsid w:val="004C6EE2"/>
    <w:rsid w:val="004D0C95"/>
    <w:rsid w:val="004D34F0"/>
    <w:rsid w:val="004D6E4A"/>
    <w:rsid w:val="004D70F7"/>
    <w:rsid w:val="004D7B98"/>
    <w:rsid w:val="004E3E16"/>
    <w:rsid w:val="004E4412"/>
    <w:rsid w:val="004E66C7"/>
    <w:rsid w:val="004E6C83"/>
    <w:rsid w:val="004F0813"/>
    <w:rsid w:val="004F0B8E"/>
    <w:rsid w:val="004F18DC"/>
    <w:rsid w:val="004F264E"/>
    <w:rsid w:val="004F2F86"/>
    <w:rsid w:val="004F40D8"/>
    <w:rsid w:val="004F4CE8"/>
    <w:rsid w:val="004F5AFB"/>
    <w:rsid w:val="005002F4"/>
    <w:rsid w:val="0050248D"/>
    <w:rsid w:val="005035E1"/>
    <w:rsid w:val="00504ADE"/>
    <w:rsid w:val="00505306"/>
    <w:rsid w:val="00510071"/>
    <w:rsid w:val="00512712"/>
    <w:rsid w:val="0051439A"/>
    <w:rsid w:val="00514A5A"/>
    <w:rsid w:val="00521228"/>
    <w:rsid w:val="00521FD0"/>
    <w:rsid w:val="00522643"/>
    <w:rsid w:val="00522650"/>
    <w:rsid w:val="005259B6"/>
    <w:rsid w:val="0052634F"/>
    <w:rsid w:val="005264F8"/>
    <w:rsid w:val="005275FB"/>
    <w:rsid w:val="00530D45"/>
    <w:rsid w:val="00531869"/>
    <w:rsid w:val="005352F0"/>
    <w:rsid w:val="00535D3C"/>
    <w:rsid w:val="00542F4B"/>
    <w:rsid w:val="00550227"/>
    <w:rsid w:val="0055275D"/>
    <w:rsid w:val="00553728"/>
    <w:rsid w:val="00555451"/>
    <w:rsid w:val="00555A43"/>
    <w:rsid w:val="00557ED2"/>
    <w:rsid w:val="005615D9"/>
    <w:rsid w:val="00564736"/>
    <w:rsid w:val="00566C90"/>
    <w:rsid w:val="00567950"/>
    <w:rsid w:val="00570254"/>
    <w:rsid w:val="00571A67"/>
    <w:rsid w:val="0057538D"/>
    <w:rsid w:val="0057608B"/>
    <w:rsid w:val="00584015"/>
    <w:rsid w:val="00584A16"/>
    <w:rsid w:val="00584EE2"/>
    <w:rsid w:val="005852E0"/>
    <w:rsid w:val="00586508"/>
    <w:rsid w:val="005908C7"/>
    <w:rsid w:val="005922BD"/>
    <w:rsid w:val="005927C9"/>
    <w:rsid w:val="00594C90"/>
    <w:rsid w:val="00595137"/>
    <w:rsid w:val="0059589C"/>
    <w:rsid w:val="00595C13"/>
    <w:rsid w:val="005A0372"/>
    <w:rsid w:val="005A35F4"/>
    <w:rsid w:val="005A4323"/>
    <w:rsid w:val="005A5FC0"/>
    <w:rsid w:val="005A618E"/>
    <w:rsid w:val="005A68A5"/>
    <w:rsid w:val="005B0CD1"/>
    <w:rsid w:val="005B36A1"/>
    <w:rsid w:val="005B5A2C"/>
    <w:rsid w:val="005B6A2C"/>
    <w:rsid w:val="005C1876"/>
    <w:rsid w:val="005C3043"/>
    <w:rsid w:val="005C3C1D"/>
    <w:rsid w:val="005C401B"/>
    <w:rsid w:val="005C57E3"/>
    <w:rsid w:val="005C663C"/>
    <w:rsid w:val="005C73CF"/>
    <w:rsid w:val="005D132A"/>
    <w:rsid w:val="005D1D5C"/>
    <w:rsid w:val="005D2E35"/>
    <w:rsid w:val="005D7682"/>
    <w:rsid w:val="005D7DED"/>
    <w:rsid w:val="005E27E6"/>
    <w:rsid w:val="005E2B72"/>
    <w:rsid w:val="005E2B8E"/>
    <w:rsid w:val="005E317F"/>
    <w:rsid w:val="005E53FB"/>
    <w:rsid w:val="005E5FCC"/>
    <w:rsid w:val="005E7012"/>
    <w:rsid w:val="005E72D5"/>
    <w:rsid w:val="005E761B"/>
    <w:rsid w:val="005E766B"/>
    <w:rsid w:val="005F4A59"/>
    <w:rsid w:val="005F7453"/>
    <w:rsid w:val="005F74E2"/>
    <w:rsid w:val="005F7AE9"/>
    <w:rsid w:val="006006AE"/>
    <w:rsid w:val="00601176"/>
    <w:rsid w:val="006020AF"/>
    <w:rsid w:val="006020C3"/>
    <w:rsid w:val="0060419A"/>
    <w:rsid w:val="006041FF"/>
    <w:rsid w:val="00604D0D"/>
    <w:rsid w:val="0061153A"/>
    <w:rsid w:val="00611BA1"/>
    <w:rsid w:val="00612180"/>
    <w:rsid w:val="00615754"/>
    <w:rsid w:val="00616C05"/>
    <w:rsid w:val="00621D7D"/>
    <w:rsid w:val="00625DCC"/>
    <w:rsid w:val="0062628C"/>
    <w:rsid w:val="00626B74"/>
    <w:rsid w:val="00626BA3"/>
    <w:rsid w:val="00626D25"/>
    <w:rsid w:val="006278B4"/>
    <w:rsid w:val="00631B98"/>
    <w:rsid w:val="00635129"/>
    <w:rsid w:val="00637AA4"/>
    <w:rsid w:val="00641C86"/>
    <w:rsid w:val="00641DCB"/>
    <w:rsid w:val="00643127"/>
    <w:rsid w:val="0064369D"/>
    <w:rsid w:val="0064464F"/>
    <w:rsid w:val="00644DA8"/>
    <w:rsid w:val="00647808"/>
    <w:rsid w:val="006479CA"/>
    <w:rsid w:val="00650181"/>
    <w:rsid w:val="00654713"/>
    <w:rsid w:val="00657854"/>
    <w:rsid w:val="006617FA"/>
    <w:rsid w:val="00662113"/>
    <w:rsid w:val="006651F3"/>
    <w:rsid w:val="00666041"/>
    <w:rsid w:val="0066630D"/>
    <w:rsid w:val="006668A6"/>
    <w:rsid w:val="00666EE2"/>
    <w:rsid w:val="0066726A"/>
    <w:rsid w:val="0067270B"/>
    <w:rsid w:val="00672905"/>
    <w:rsid w:val="00675A6D"/>
    <w:rsid w:val="00675D92"/>
    <w:rsid w:val="006809C1"/>
    <w:rsid w:val="006838AA"/>
    <w:rsid w:val="006840DD"/>
    <w:rsid w:val="00686E34"/>
    <w:rsid w:val="00687519"/>
    <w:rsid w:val="00690CE7"/>
    <w:rsid w:val="00691261"/>
    <w:rsid w:val="00694257"/>
    <w:rsid w:val="006943C6"/>
    <w:rsid w:val="006950DB"/>
    <w:rsid w:val="0069562D"/>
    <w:rsid w:val="006972C1"/>
    <w:rsid w:val="00697539"/>
    <w:rsid w:val="006976D2"/>
    <w:rsid w:val="006A1523"/>
    <w:rsid w:val="006A2C55"/>
    <w:rsid w:val="006A5ABD"/>
    <w:rsid w:val="006A7649"/>
    <w:rsid w:val="006A7DBC"/>
    <w:rsid w:val="006B176D"/>
    <w:rsid w:val="006B1FEE"/>
    <w:rsid w:val="006B2F08"/>
    <w:rsid w:val="006B41EA"/>
    <w:rsid w:val="006B4890"/>
    <w:rsid w:val="006B5C07"/>
    <w:rsid w:val="006C0A2B"/>
    <w:rsid w:val="006C0FAE"/>
    <w:rsid w:val="006C26BC"/>
    <w:rsid w:val="006C2740"/>
    <w:rsid w:val="006C2F2E"/>
    <w:rsid w:val="006C303D"/>
    <w:rsid w:val="006C30F1"/>
    <w:rsid w:val="006C3217"/>
    <w:rsid w:val="006C3503"/>
    <w:rsid w:val="006C4B54"/>
    <w:rsid w:val="006C68BF"/>
    <w:rsid w:val="006C7D95"/>
    <w:rsid w:val="006D0695"/>
    <w:rsid w:val="006D5102"/>
    <w:rsid w:val="006D6404"/>
    <w:rsid w:val="006D7025"/>
    <w:rsid w:val="006E04A3"/>
    <w:rsid w:val="006E06DC"/>
    <w:rsid w:val="006F0221"/>
    <w:rsid w:val="006F1768"/>
    <w:rsid w:val="006F24EF"/>
    <w:rsid w:val="006F2D67"/>
    <w:rsid w:val="006F3CB5"/>
    <w:rsid w:val="006F4FDB"/>
    <w:rsid w:val="006F5B92"/>
    <w:rsid w:val="00702412"/>
    <w:rsid w:val="007042FC"/>
    <w:rsid w:val="007044E2"/>
    <w:rsid w:val="00705FD6"/>
    <w:rsid w:val="0070724D"/>
    <w:rsid w:val="00710E31"/>
    <w:rsid w:val="00711427"/>
    <w:rsid w:val="00711F26"/>
    <w:rsid w:val="00712C83"/>
    <w:rsid w:val="0071562A"/>
    <w:rsid w:val="00720841"/>
    <w:rsid w:val="00722A07"/>
    <w:rsid w:val="00723A28"/>
    <w:rsid w:val="00725E3F"/>
    <w:rsid w:val="00733AD0"/>
    <w:rsid w:val="00737117"/>
    <w:rsid w:val="00737895"/>
    <w:rsid w:val="007417AA"/>
    <w:rsid w:val="00746040"/>
    <w:rsid w:val="007460AB"/>
    <w:rsid w:val="0074781C"/>
    <w:rsid w:val="007549CE"/>
    <w:rsid w:val="007565DB"/>
    <w:rsid w:val="00757144"/>
    <w:rsid w:val="00757655"/>
    <w:rsid w:val="007576CD"/>
    <w:rsid w:val="00760744"/>
    <w:rsid w:val="00761206"/>
    <w:rsid w:val="007629E1"/>
    <w:rsid w:val="00763BD7"/>
    <w:rsid w:val="00764B37"/>
    <w:rsid w:val="00765F4C"/>
    <w:rsid w:val="007678BA"/>
    <w:rsid w:val="007727B3"/>
    <w:rsid w:val="00775110"/>
    <w:rsid w:val="007775D9"/>
    <w:rsid w:val="007804F4"/>
    <w:rsid w:val="00781C69"/>
    <w:rsid w:val="00781E0F"/>
    <w:rsid w:val="00786054"/>
    <w:rsid w:val="00786657"/>
    <w:rsid w:val="00786A94"/>
    <w:rsid w:val="0079318A"/>
    <w:rsid w:val="007935FC"/>
    <w:rsid w:val="00795918"/>
    <w:rsid w:val="00796DEE"/>
    <w:rsid w:val="00797FDB"/>
    <w:rsid w:val="007A0E6F"/>
    <w:rsid w:val="007A2F33"/>
    <w:rsid w:val="007A437D"/>
    <w:rsid w:val="007A4BF8"/>
    <w:rsid w:val="007A5D69"/>
    <w:rsid w:val="007A69CE"/>
    <w:rsid w:val="007A79FB"/>
    <w:rsid w:val="007A7B77"/>
    <w:rsid w:val="007B0ABE"/>
    <w:rsid w:val="007B1546"/>
    <w:rsid w:val="007B4599"/>
    <w:rsid w:val="007B4A27"/>
    <w:rsid w:val="007B5ED8"/>
    <w:rsid w:val="007B665E"/>
    <w:rsid w:val="007B6C3D"/>
    <w:rsid w:val="007B7622"/>
    <w:rsid w:val="007C0132"/>
    <w:rsid w:val="007C283B"/>
    <w:rsid w:val="007C2F41"/>
    <w:rsid w:val="007C3D23"/>
    <w:rsid w:val="007C4DC7"/>
    <w:rsid w:val="007C57AC"/>
    <w:rsid w:val="007C6A1A"/>
    <w:rsid w:val="007C715A"/>
    <w:rsid w:val="007D0994"/>
    <w:rsid w:val="007D3B3A"/>
    <w:rsid w:val="007D69B5"/>
    <w:rsid w:val="007D7C6C"/>
    <w:rsid w:val="007E173A"/>
    <w:rsid w:val="007E3E5A"/>
    <w:rsid w:val="007E665B"/>
    <w:rsid w:val="007E6872"/>
    <w:rsid w:val="007F118A"/>
    <w:rsid w:val="007F28E8"/>
    <w:rsid w:val="007F299E"/>
    <w:rsid w:val="007F3F50"/>
    <w:rsid w:val="007F411E"/>
    <w:rsid w:val="007F6BF2"/>
    <w:rsid w:val="007F6C34"/>
    <w:rsid w:val="008042C1"/>
    <w:rsid w:val="00805B7D"/>
    <w:rsid w:val="00814E3C"/>
    <w:rsid w:val="00815620"/>
    <w:rsid w:val="00820574"/>
    <w:rsid w:val="00820770"/>
    <w:rsid w:val="00820D33"/>
    <w:rsid w:val="0082113C"/>
    <w:rsid w:val="00827CB9"/>
    <w:rsid w:val="008318A2"/>
    <w:rsid w:val="00833544"/>
    <w:rsid w:val="00834A12"/>
    <w:rsid w:val="00835035"/>
    <w:rsid w:val="00837103"/>
    <w:rsid w:val="00837A4E"/>
    <w:rsid w:val="0084121D"/>
    <w:rsid w:val="00850682"/>
    <w:rsid w:val="00850C54"/>
    <w:rsid w:val="00851FB9"/>
    <w:rsid w:val="00853782"/>
    <w:rsid w:val="00853ED9"/>
    <w:rsid w:val="00856A63"/>
    <w:rsid w:val="0086151F"/>
    <w:rsid w:val="008618D8"/>
    <w:rsid w:val="008655D0"/>
    <w:rsid w:val="0087171B"/>
    <w:rsid w:val="008748D0"/>
    <w:rsid w:val="008757C7"/>
    <w:rsid w:val="00877823"/>
    <w:rsid w:val="008809E6"/>
    <w:rsid w:val="00882363"/>
    <w:rsid w:val="00882664"/>
    <w:rsid w:val="008827F2"/>
    <w:rsid w:val="00883E08"/>
    <w:rsid w:val="00883FAD"/>
    <w:rsid w:val="00884696"/>
    <w:rsid w:val="0088565A"/>
    <w:rsid w:val="00890013"/>
    <w:rsid w:val="0089006E"/>
    <w:rsid w:val="00890337"/>
    <w:rsid w:val="00891B18"/>
    <w:rsid w:val="00892445"/>
    <w:rsid w:val="008A1BFC"/>
    <w:rsid w:val="008A363B"/>
    <w:rsid w:val="008A3D5B"/>
    <w:rsid w:val="008A56B9"/>
    <w:rsid w:val="008A7DB9"/>
    <w:rsid w:val="008B1A00"/>
    <w:rsid w:val="008B2516"/>
    <w:rsid w:val="008B783A"/>
    <w:rsid w:val="008C3DD2"/>
    <w:rsid w:val="008C5555"/>
    <w:rsid w:val="008C666C"/>
    <w:rsid w:val="008D1100"/>
    <w:rsid w:val="008D191A"/>
    <w:rsid w:val="008D3E9D"/>
    <w:rsid w:val="008D48D6"/>
    <w:rsid w:val="008D5884"/>
    <w:rsid w:val="008D5FF7"/>
    <w:rsid w:val="008D631F"/>
    <w:rsid w:val="008E2618"/>
    <w:rsid w:val="008E2FC1"/>
    <w:rsid w:val="008E3262"/>
    <w:rsid w:val="008E3937"/>
    <w:rsid w:val="008E4E13"/>
    <w:rsid w:val="008E5645"/>
    <w:rsid w:val="008E56FA"/>
    <w:rsid w:val="008E7091"/>
    <w:rsid w:val="008E77B8"/>
    <w:rsid w:val="009002B7"/>
    <w:rsid w:val="00900DAE"/>
    <w:rsid w:val="0090130F"/>
    <w:rsid w:val="009027A2"/>
    <w:rsid w:val="00902C7E"/>
    <w:rsid w:val="00902CD7"/>
    <w:rsid w:val="009058A6"/>
    <w:rsid w:val="009073DB"/>
    <w:rsid w:val="00912CB4"/>
    <w:rsid w:val="009147E5"/>
    <w:rsid w:val="00915430"/>
    <w:rsid w:val="00916343"/>
    <w:rsid w:val="0091748A"/>
    <w:rsid w:val="00917A87"/>
    <w:rsid w:val="0092109D"/>
    <w:rsid w:val="0092156C"/>
    <w:rsid w:val="00922E98"/>
    <w:rsid w:val="00923045"/>
    <w:rsid w:val="009235C8"/>
    <w:rsid w:val="009242DF"/>
    <w:rsid w:val="009242FB"/>
    <w:rsid w:val="009256D8"/>
    <w:rsid w:val="009257A4"/>
    <w:rsid w:val="00926F0D"/>
    <w:rsid w:val="009304EB"/>
    <w:rsid w:val="009325DB"/>
    <w:rsid w:val="00933BC8"/>
    <w:rsid w:val="00934BBF"/>
    <w:rsid w:val="00940F88"/>
    <w:rsid w:val="00947A14"/>
    <w:rsid w:val="009518B8"/>
    <w:rsid w:val="00951B43"/>
    <w:rsid w:val="00953BFB"/>
    <w:rsid w:val="00955127"/>
    <w:rsid w:val="009551DA"/>
    <w:rsid w:val="00956177"/>
    <w:rsid w:val="00956994"/>
    <w:rsid w:val="00967C79"/>
    <w:rsid w:val="00970D81"/>
    <w:rsid w:val="00971666"/>
    <w:rsid w:val="00972817"/>
    <w:rsid w:val="0097498B"/>
    <w:rsid w:val="00977339"/>
    <w:rsid w:val="00980923"/>
    <w:rsid w:val="009833FD"/>
    <w:rsid w:val="009862E4"/>
    <w:rsid w:val="00986B54"/>
    <w:rsid w:val="009871EF"/>
    <w:rsid w:val="00991152"/>
    <w:rsid w:val="00991CC6"/>
    <w:rsid w:val="00993C22"/>
    <w:rsid w:val="00994BE8"/>
    <w:rsid w:val="009A08F0"/>
    <w:rsid w:val="009A68FB"/>
    <w:rsid w:val="009A6A47"/>
    <w:rsid w:val="009A6DE8"/>
    <w:rsid w:val="009B008E"/>
    <w:rsid w:val="009B0716"/>
    <w:rsid w:val="009B36E8"/>
    <w:rsid w:val="009B5CC3"/>
    <w:rsid w:val="009C25D4"/>
    <w:rsid w:val="009C4D55"/>
    <w:rsid w:val="009C7D8C"/>
    <w:rsid w:val="009C7DA8"/>
    <w:rsid w:val="009D299B"/>
    <w:rsid w:val="009D2CF9"/>
    <w:rsid w:val="009D60FD"/>
    <w:rsid w:val="009D62D1"/>
    <w:rsid w:val="009D773E"/>
    <w:rsid w:val="009E2CFB"/>
    <w:rsid w:val="009E524A"/>
    <w:rsid w:val="009E5317"/>
    <w:rsid w:val="009E58CC"/>
    <w:rsid w:val="009F4CE2"/>
    <w:rsid w:val="009F72AF"/>
    <w:rsid w:val="00A00758"/>
    <w:rsid w:val="00A02D98"/>
    <w:rsid w:val="00A05395"/>
    <w:rsid w:val="00A07A98"/>
    <w:rsid w:val="00A118E7"/>
    <w:rsid w:val="00A11B20"/>
    <w:rsid w:val="00A11DFB"/>
    <w:rsid w:val="00A122F8"/>
    <w:rsid w:val="00A13678"/>
    <w:rsid w:val="00A15EFA"/>
    <w:rsid w:val="00A16ED2"/>
    <w:rsid w:val="00A178DD"/>
    <w:rsid w:val="00A17A73"/>
    <w:rsid w:val="00A206CC"/>
    <w:rsid w:val="00A21B27"/>
    <w:rsid w:val="00A21E83"/>
    <w:rsid w:val="00A229DA"/>
    <w:rsid w:val="00A22AB0"/>
    <w:rsid w:val="00A2444B"/>
    <w:rsid w:val="00A2699D"/>
    <w:rsid w:val="00A2748F"/>
    <w:rsid w:val="00A277FB"/>
    <w:rsid w:val="00A27B5B"/>
    <w:rsid w:val="00A3065A"/>
    <w:rsid w:val="00A33854"/>
    <w:rsid w:val="00A349E4"/>
    <w:rsid w:val="00A359B9"/>
    <w:rsid w:val="00A4178C"/>
    <w:rsid w:val="00A41E67"/>
    <w:rsid w:val="00A4253B"/>
    <w:rsid w:val="00A42ED4"/>
    <w:rsid w:val="00A45A2F"/>
    <w:rsid w:val="00A5040A"/>
    <w:rsid w:val="00A50DE0"/>
    <w:rsid w:val="00A52DB1"/>
    <w:rsid w:val="00A536DD"/>
    <w:rsid w:val="00A57A63"/>
    <w:rsid w:val="00A613C8"/>
    <w:rsid w:val="00A61C28"/>
    <w:rsid w:val="00A62072"/>
    <w:rsid w:val="00A627A4"/>
    <w:rsid w:val="00A639A3"/>
    <w:rsid w:val="00A646B1"/>
    <w:rsid w:val="00A65E4A"/>
    <w:rsid w:val="00A66331"/>
    <w:rsid w:val="00A673DC"/>
    <w:rsid w:val="00A708A0"/>
    <w:rsid w:val="00A7352C"/>
    <w:rsid w:val="00A76E77"/>
    <w:rsid w:val="00A77817"/>
    <w:rsid w:val="00A8003D"/>
    <w:rsid w:val="00A81901"/>
    <w:rsid w:val="00A91B11"/>
    <w:rsid w:val="00A934F5"/>
    <w:rsid w:val="00A93904"/>
    <w:rsid w:val="00A95A8F"/>
    <w:rsid w:val="00A95DB6"/>
    <w:rsid w:val="00A96BA4"/>
    <w:rsid w:val="00AA02FF"/>
    <w:rsid w:val="00AA23FC"/>
    <w:rsid w:val="00AA633A"/>
    <w:rsid w:val="00AA661F"/>
    <w:rsid w:val="00AB0751"/>
    <w:rsid w:val="00AB1D34"/>
    <w:rsid w:val="00AB1E83"/>
    <w:rsid w:val="00AB4037"/>
    <w:rsid w:val="00AC09E5"/>
    <w:rsid w:val="00AC2CCC"/>
    <w:rsid w:val="00AC2FD2"/>
    <w:rsid w:val="00AC39DF"/>
    <w:rsid w:val="00AC52E9"/>
    <w:rsid w:val="00AC55D6"/>
    <w:rsid w:val="00AD0D08"/>
    <w:rsid w:val="00AD1DCF"/>
    <w:rsid w:val="00AD1F0E"/>
    <w:rsid w:val="00AD2FD1"/>
    <w:rsid w:val="00AD4775"/>
    <w:rsid w:val="00AD5686"/>
    <w:rsid w:val="00AE29B2"/>
    <w:rsid w:val="00AE5481"/>
    <w:rsid w:val="00AE5FA9"/>
    <w:rsid w:val="00AF5D57"/>
    <w:rsid w:val="00AF76DB"/>
    <w:rsid w:val="00B01437"/>
    <w:rsid w:val="00B07EA1"/>
    <w:rsid w:val="00B11627"/>
    <w:rsid w:val="00B17915"/>
    <w:rsid w:val="00B17A30"/>
    <w:rsid w:val="00B21D9A"/>
    <w:rsid w:val="00B23F8D"/>
    <w:rsid w:val="00B26384"/>
    <w:rsid w:val="00B30429"/>
    <w:rsid w:val="00B32D16"/>
    <w:rsid w:val="00B343DC"/>
    <w:rsid w:val="00B353FF"/>
    <w:rsid w:val="00B357D2"/>
    <w:rsid w:val="00B3711D"/>
    <w:rsid w:val="00B40BC9"/>
    <w:rsid w:val="00B40FC3"/>
    <w:rsid w:val="00B4172C"/>
    <w:rsid w:val="00B41B03"/>
    <w:rsid w:val="00B4299B"/>
    <w:rsid w:val="00B432C1"/>
    <w:rsid w:val="00B44541"/>
    <w:rsid w:val="00B4493B"/>
    <w:rsid w:val="00B518EE"/>
    <w:rsid w:val="00B52456"/>
    <w:rsid w:val="00B5358C"/>
    <w:rsid w:val="00B53898"/>
    <w:rsid w:val="00B550C4"/>
    <w:rsid w:val="00B55852"/>
    <w:rsid w:val="00B57557"/>
    <w:rsid w:val="00B6212D"/>
    <w:rsid w:val="00B707CD"/>
    <w:rsid w:val="00B72431"/>
    <w:rsid w:val="00B754A1"/>
    <w:rsid w:val="00B759B5"/>
    <w:rsid w:val="00B75AA7"/>
    <w:rsid w:val="00B75E23"/>
    <w:rsid w:val="00B762F2"/>
    <w:rsid w:val="00B773B6"/>
    <w:rsid w:val="00B77E74"/>
    <w:rsid w:val="00B85208"/>
    <w:rsid w:val="00B8597F"/>
    <w:rsid w:val="00B872F9"/>
    <w:rsid w:val="00B87967"/>
    <w:rsid w:val="00B903AF"/>
    <w:rsid w:val="00B92BB6"/>
    <w:rsid w:val="00BA332D"/>
    <w:rsid w:val="00BA5700"/>
    <w:rsid w:val="00BA60D7"/>
    <w:rsid w:val="00BA6DE7"/>
    <w:rsid w:val="00BA6FF9"/>
    <w:rsid w:val="00BA7814"/>
    <w:rsid w:val="00BB51DB"/>
    <w:rsid w:val="00BB74D7"/>
    <w:rsid w:val="00BC2896"/>
    <w:rsid w:val="00BC4050"/>
    <w:rsid w:val="00BC50C3"/>
    <w:rsid w:val="00BC59B1"/>
    <w:rsid w:val="00BC635A"/>
    <w:rsid w:val="00BD1EBA"/>
    <w:rsid w:val="00BD2878"/>
    <w:rsid w:val="00BD5F59"/>
    <w:rsid w:val="00BE0352"/>
    <w:rsid w:val="00BE095A"/>
    <w:rsid w:val="00BE10C0"/>
    <w:rsid w:val="00BE1271"/>
    <w:rsid w:val="00BE1C8A"/>
    <w:rsid w:val="00BE28CF"/>
    <w:rsid w:val="00BE7BD0"/>
    <w:rsid w:val="00BF0240"/>
    <w:rsid w:val="00BF1E9D"/>
    <w:rsid w:val="00BF1F54"/>
    <w:rsid w:val="00BF355D"/>
    <w:rsid w:val="00BF3D99"/>
    <w:rsid w:val="00BF42A3"/>
    <w:rsid w:val="00BF47D7"/>
    <w:rsid w:val="00BF6959"/>
    <w:rsid w:val="00C0089B"/>
    <w:rsid w:val="00C02B22"/>
    <w:rsid w:val="00C03BA7"/>
    <w:rsid w:val="00C06D74"/>
    <w:rsid w:val="00C07D68"/>
    <w:rsid w:val="00C10E44"/>
    <w:rsid w:val="00C158DE"/>
    <w:rsid w:val="00C17C97"/>
    <w:rsid w:val="00C21FB8"/>
    <w:rsid w:val="00C240A0"/>
    <w:rsid w:val="00C26000"/>
    <w:rsid w:val="00C263CF"/>
    <w:rsid w:val="00C267A2"/>
    <w:rsid w:val="00C30A9A"/>
    <w:rsid w:val="00C3403B"/>
    <w:rsid w:val="00C36520"/>
    <w:rsid w:val="00C36839"/>
    <w:rsid w:val="00C36963"/>
    <w:rsid w:val="00C37CD9"/>
    <w:rsid w:val="00C401F5"/>
    <w:rsid w:val="00C44DEE"/>
    <w:rsid w:val="00C50594"/>
    <w:rsid w:val="00C5530D"/>
    <w:rsid w:val="00C55D44"/>
    <w:rsid w:val="00C55EB4"/>
    <w:rsid w:val="00C600C8"/>
    <w:rsid w:val="00C62FD6"/>
    <w:rsid w:val="00C63B5D"/>
    <w:rsid w:val="00C63FC0"/>
    <w:rsid w:val="00C665F9"/>
    <w:rsid w:val="00C70FF4"/>
    <w:rsid w:val="00C7108C"/>
    <w:rsid w:val="00C727AA"/>
    <w:rsid w:val="00C75D45"/>
    <w:rsid w:val="00C819DC"/>
    <w:rsid w:val="00C85250"/>
    <w:rsid w:val="00C85C2C"/>
    <w:rsid w:val="00C85EBA"/>
    <w:rsid w:val="00C917EA"/>
    <w:rsid w:val="00C92CCA"/>
    <w:rsid w:val="00C93799"/>
    <w:rsid w:val="00C94466"/>
    <w:rsid w:val="00C959E6"/>
    <w:rsid w:val="00CA0D7A"/>
    <w:rsid w:val="00CA21A7"/>
    <w:rsid w:val="00CA25F5"/>
    <w:rsid w:val="00CA40E3"/>
    <w:rsid w:val="00CA4FA4"/>
    <w:rsid w:val="00CA5AC8"/>
    <w:rsid w:val="00CA68A1"/>
    <w:rsid w:val="00CA722F"/>
    <w:rsid w:val="00CB03AC"/>
    <w:rsid w:val="00CB2116"/>
    <w:rsid w:val="00CB4DE8"/>
    <w:rsid w:val="00CB54CF"/>
    <w:rsid w:val="00CB5910"/>
    <w:rsid w:val="00CB5ECF"/>
    <w:rsid w:val="00CC2BD3"/>
    <w:rsid w:val="00CC4EB4"/>
    <w:rsid w:val="00CC694F"/>
    <w:rsid w:val="00CD1140"/>
    <w:rsid w:val="00CD3563"/>
    <w:rsid w:val="00CD58C1"/>
    <w:rsid w:val="00CD5D99"/>
    <w:rsid w:val="00CD6465"/>
    <w:rsid w:val="00CE1973"/>
    <w:rsid w:val="00CE3F11"/>
    <w:rsid w:val="00CE619A"/>
    <w:rsid w:val="00CF07A0"/>
    <w:rsid w:val="00CF0B71"/>
    <w:rsid w:val="00CF286C"/>
    <w:rsid w:val="00CF2E44"/>
    <w:rsid w:val="00CF2F98"/>
    <w:rsid w:val="00CF425D"/>
    <w:rsid w:val="00CF49B1"/>
    <w:rsid w:val="00CF7F02"/>
    <w:rsid w:val="00D0120A"/>
    <w:rsid w:val="00D028D7"/>
    <w:rsid w:val="00D02B49"/>
    <w:rsid w:val="00D03B0B"/>
    <w:rsid w:val="00D05048"/>
    <w:rsid w:val="00D06158"/>
    <w:rsid w:val="00D06664"/>
    <w:rsid w:val="00D076A5"/>
    <w:rsid w:val="00D10387"/>
    <w:rsid w:val="00D10BCE"/>
    <w:rsid w:val="00D12CC2"/>
    <w:rsid w:val="00D13475"/>
    <w:rsid w:val="00D20D94"/>
    <w:rsid w:val="00D21D6D"/>
    <w:rsid w:val="00D238C7"/>
    <w:rsid w:val="00D335C7"/>
    <w:rsid w:val="00D3372A"/>
    <w:rsid w:val="00D33BFB"/>
    <w:rsid w:val="00D37537"/>
    <w:rsid w:val="00D37C27"/>
    <w:rsid w:val="00D42F28"/>
    <w:rsid w:val="00D445FA"/>
    <w:rsid w:val="00D44B54"/>
    <w:rsid w:val="00D50E04"/>
    <w:rsid w:val="00D52440"/>
    <w:rsid w:val="00D5607F"/>
    <w:rsid w:val="00D60102"/>
    <w:rsid w:val="00D60B35"/>
    <w:rsid w:val="00D67C2C"/>
    <w:rsid w:val="00D71450"/>
    <w:rsid w:val="00D71629"/>
    <w:rsid w:val="00D727A4"/>
    <w:rsid w:val="00D7312E"/>
    <w:rsid w:val="00D73469"/>
    <w:rsid w:val="00D73965"/>
    <w:rsid w:val="00D74B07"/>
    <w:rsid w:val="00D765B5"/>
    <w:rsid w:val="00D80EF7"/>
    <w:rsid w:val="00D81E56"/>
    <w:rsid w:val="00D838E5"/>
    <w:rsid w:val="00D8472B"/>
    <w:rsid w:val="00D851F0"/>
    <w:rsid w:val="00D85FC7"/>
    <w:rsid w:val="00D867F4"/>
    <w:rsid w:val="00D86A75"/>
    <w:rsid w:val="00D871CF"/>
    <w:rsid w:val="00D91077"/>
    <w:rsid w:val="00D910BA"/>
    <w:rsid w:val="00D91850"/>
    <w:rsid w:val="00D93707"/>
    <w:rsid w:val="00D93AA6"/>
    <w:rsid w:val="00D95AAE"/>
    <w:rsid w:val="00D95F30"/>
    <w:rsid w:val="00D96C59"/>
    <w:rsid w:val="00DA1399"/>
    <w:rsid w:val="00DA2C62"/>
    <w:rsid w:val="00DA44E8"/>
    <w:rsid w:val="00DA774B"/>
    <w:rsid w:val="00DB3E96"/>
    <w:rsid w:val="00DB4057"/>
    <w:rsid w:val="00DB51CE"/>
    <w:rsid w:val="00DB55B5"/>
    <w:rsid w:val="00DB7127"/>
    <w:rsid w:val="00DC0498"/>
    <w:rsid w:val="00DC149B"/>
    <w:rsid w:val="00DC1CB0"/>
    <w:rsid w:val="00DC304B"/>
    <w:rsid w:val="00DC769C"/>
    <w:rsid w:val="00DD0B40"/>
    <w:rsid w:val="00DD375A"/>
    <w:rsid w:val="00DD5465"/>
    <w:rsid w:val="00DE00B2"/>
    <w:rsid w:val="00DE0131"/>
    <w:rsid w:val="00DE1832"/>
    <w:rsid w:val="00DE2939"/>
    <w:rsid w:val="00DE497C"/>
    <w:rsid w:val="00DE6BB7"/>
    <w:rsid w:val="00DF05F3"/>
    <w:rsid w:val="00DF0A38"/>
    <w:rsid w:val="00DF0EA7"/>
    <w:rsid w:val="00DF2407"/>
    <w:rsid w:val="00DF2759"/>
    <w:rsid w:val="00DF2D64"/>
    <w:rsid w:val="00DF3597"/>
    <w:rsid w:val="00DF361F"/>
    <w:rsid w:val="00DF37A5"/>
    <w:rsid w:val="00DF3AF0"/>
    <w:rsid w:val="00DF4F0E"/>
    <w:rsid w:val="00DF5057"/>
    <w:rsid w:val="00DF76CF"/>
    <w:rsid w:val="00DF7D65"/>
    <w:rsid w:val="00DF7DDE"/>
    <w:rsid w:val="00E03780"/>
    <w:rsid w:val="00E04A4B"/>
    <w:rsid w:val="00E0710A"/>
    <w:rsid w:val="00E0716C"/>
    <w:rsid w:val="00E076F7"/>
    <w:rsid w:val="00E10252"/>
    <w:rsid w:val="00E1663F"/>
    <w:rsid w:val="00E21550"/>
    <w:rsid w:val="00E22AA6"/>
    <w:rsid w:val="00E22D38"/>
    <w:rsid w:val="00E23DBD"/>
    <w:rsid w:val="00E2535C"/>
    <w:rsid w:val="00E32147"/>
    <w:rsid w:val="00E3245B"/>
    <w:rsid w:val="00E329AC"/>
    <w:rsid w:val="00E33430"/>
    <w:rsid w:val="00E351B0"/>
    <w:rsid w:val="00E352DD"/>
    <w:rsid w:val="00E357C1"/>
    <w:rsid w:val="00E4083E"/>
    <w:rsid w:val="00E416CA"/>
    <w:rsid w:val="00E43EB5"/>
    <w:rsid w:val="00E45243"/>
    <w:rsid w:val="00E465A1"/>
    <w:rsid w:val="00E46A9F"/>
    <w:rsid w:val="00E4747D"/>
    <w:rsid w:val="00E502B0"/>
    <w:rsid w:val="00E543EB"/>
    <w:rsid w:val="00E5707A"/>
    <w:rsid w:val="00E63FC1"/>
    <w:rsid w:val="00E64583"/>
    <w:rsid w:val="00E712C3"/>
    <w:rsid w:val="00E7248F"/>
    <w:rsid w:val="00E724BA"/>
    <w:rsid w:val="00E73BB8"/>
    <w:rsid w:val="00E746FE"/>
    <w:rsid w:val="00E75153"/>
    <w:rsid w:val="00E77D61"/>
    <w:rsid w:val="00E80479"/>
    <w:rsid w:val="00E81A6E"/>
    <w:rsid w:val="00E82B99"/>
    <w:rsid w:val="00E85C5D"/>
    <w:rsid w:val="00E91F9F"/>
    <w:rsid w:val="00E9238D"/>
    <w:rsid w:val="00E925C3"/>
    <w:rsid w:val="00E94976"/>
    <w:rsid w:val="00EA098F"/>
    <w:rsid w:val="00EA0B43"/>
    <w:rsid w:val="00EA3C64"/>
    <w:rsid w:val="00EA66E1"/>
    <w:rsid w:val="00EA70EE"/>
    <w:rsid w:val="00EB076D"/>
    <w:rsid w:val="00EB521C"/>
    <w:rsid w:val="00EC3591"/>
    <w:rsid w:val="00EC4DEC"/>
    <w:rsid w:val="00EC4EF5"/>
    <w:rsid w:val="00EC51F9"/>
    <w:rsid w:val="00EC7271"/>
    <w:rsid w:val="00ED086D"/>
    <w:rsid w:val="00ED31D2"/>
    <w:rsid w:val="00ED4FF5"/>
    <w:rsid w:val="00EE0374"/>
    <w:rsid w:val="00EE0C9B"/>
    <w:rsid w:val="00EE3A55"/>
    <w:rsid w:val="00EE3EE2"/>
    <w:rsid w:val="00EE71C6"/>
    <w:rsid w:val="00EF2303"/>
    <w:rsid w:val="00F00D6A"/>
    <w:rsid w:val="00F01B5D"/>
    <w:rsid w:val="00F03A26"/>
    <w:rsid w:val="00F04630"/>
    <w:rsid w:val="00F04784"/>
    <w:rsid w:val="00F048AF"/>
    <w:rsid w:val="00F051BF"/>
    <w:rsid w:val="00F07650"/>
    <w:rsid w:val="00F10557"/>
    <w:rsid w:val="00F105B7"/>
    <w:rsid w:val="00F12493"/>
    <w:rsid w:val="00F15967"/>
    <w:rsid w:val="00F175A6"/>
    <w:rsid w:val="00F176A3"/>
    <w:rsid w:val="00F17A28"/>
    <w:rsid w:val="00F17CBF"/>
    <w:rsid w:val="00F20FAE"/>
    <w:rsid w:val="00F228FB"/>
    <w:rsid w:val="00F23FB7"/>
    <w:rsid w:val="00F24F2B"/>
    <w:rsid w:val="00F261D7"/>
    <w:rsid w:val="00F264DE"/>
    <w:rsid w:val="00F31234"/>
    <w:rsid w:val="00F34FBD"/>
    <w:rsid w:val="00F41851"/>
    <w:rsid w:val="00F42CE2"/>
    <w:rsid w:val="00F4389C"/>
    <w:rsid w:val="00F45C9C"/>
    <w:rsid w:val="00F4676D"/>
    <w:rsid w:val="00F46C71"/>
    <w:rsid w:val="00F52677"/>
    <w:rsid w:val="00F548CA"/>
    <w:rsid w:val="00F54F59"/>
    <w:rsid w:val="00F55B06"/>
    <w:rsid w:val="00F6039B"/>
    <w:rsid w:val="00F721FE"/>
    <w:rsid w:val="00F746E5"/>
    <w:rsid w:val="00F75C25"/>
    <w:rsid w:val="00F76301"/>
    <w:rsid w:val="00F815AF"/>
    <w:rsid w:val="00F827FD"/>
    <w:rsid w:val="00F83810"/>
    <w:rsid w:val="00F8492D"/>
    <w:rsid w:val="00F84A13"/>
    <w:rsid w:val="00F8672B"/>
    <w:rsid w:val="00F86B3D"/>
    <w:rsid w:val="00F93D99"/>
    <w:rsid w:val="00F948A9"/>
    <w:rsid w:val="00F94F58"/>
    <w:rsid w:val="00FA049A"/>
    <w:rsid w:val="00FB21F2"/>
    <w:rsid w:val="00FB2B18"/>
    <w:rsid w:val="00FB5368"/>
    <w:rsid w:val="00FB6F3B"/>
    <w:rsid w:val="00FC07DA"/>
    <w:rsid w:val="00FC0E1E"/>
    <w:rsid w:val="00FC1926"/>
    <w:rsid w:val="00FC466C"/>
    <w:rsid w:val="00FC4C1F"/>
    <w:rsid w:val="00FD0ABD"/>
    <w:rsid w:val="00FD164F"/>
    <w:rsid w:val="00FD1B76"/>
    <w:rsid w:val="00FD6755"/>
    <w:rsid w:val="00FD7A19"/>
    <w:rsid w:val="00FE0D04"/>
    <w:rsid w:val="00FE12C1"/>
    <w:rsid w:val="00FE148E"/>
    <w:rsid w:val="00FE39A4"/>
    <w:rsid w:val="00FE5A9C"/>
    <w:rsid w:val="00FE5DF4"/>
    <w:rsid w:val="00FE6E8D"/>
    <w:rsid w:val="00FE743B"/>
    <w:rsid w:val="00FF020C"/>
    <w:rsid w:val="00FF156E"/>
    <w:rsid w:val="00FF48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A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4C"/>
    <w:pPr>
      <w:spacing w:after="160" w:line="259" w:lineRule="auto"/>
    </w:pPr>
    <w:rPr>
      <w:rFonts w:cs="Calibri"/>
      <w:lang w:val="en-US" w:eastAsia="ja-JP"/>
    </w:rPr>
  </w:style>
  <w:style w:type="paragraph" w:styleId="Heading1">
    <w:name w:val="heading 1"/>
    <w:basedOn w:val="Normal"/>
    <w:next w:val="Normal"/>
    <w:link w:val="Heading1Char"/>
    <w:uiPriority w:val="9"/>
    <w:qFormat/>
    <w:rsid w:val="0049094C"/>
    <w:pPr>
      <w:keepNext/>
      <w:keepLines/>
      <w:spacing w:before="400" w:after="40" w:line="240" w:lineRule="auto"/>
      <w:outlineLvl w:val="0"/>
    </w:pPr>
    <w:rPr>
      <w:rFonts w:ascii="Calibri Light" w:hAnsi="Calibri Light" w:cs="Calibri Light"/>
      <w:color w:val="1F4E79"/>
      <w:sz w:val="36"/>
      <w:szCs w:val="36"/>
    </w:rPr>
  </w:style>
  <w:style w:type="paragraph" w:styleId="Heading2">
    <w:name w:val="heading 2"/>
    <w:aliases w:val="Char"/>
    <w:basedOn w:val="Normal"/>
    <w:next w:val="Normal"/>
    <w:link w:val="Heading2Char"/>
    <w:uiPriority w:val="9"/>
    <w:qFormat/>
    <w:rsid w:val="0049094C"/>
    <w:pPr>
      <w:keepNext/>
      <w:keepLines/>
      <w:spacing w:before="40" w:after="0" w:line="240" w:lineRule="auto"/>
      <w:outlineLvl w:val="1"/>
    </w:pPr>
    <w:rPr>
      <w:rFonts w:ascii="Calibri Light" w:hAnsi="Calibri Light" w:cs="Calibri Light"/>
      <w:color w:val="2E74B5"/>
      <w:sz w:val="32"/>
      <w:szCs w:val="32"/>
    </w:rPr>
  </w:style>
  <w:style w:type="paragraph" w:styleId="Heading3">
    <w:name w:val="heading 3"/>
    <w:basedOn w:val="Normal"/>
    <w:next w:val="Normal"/>
    <w:link w:val="Heading3Char"/>
    <w:uiPriority w:val="99"/>
    <w:qFormat/>
    <w:rsid w:val="0049094C"/>
    <w:pPr>
      <w:keepNext/>
      <w:keepLines/>
      <w:spacing w:before="40" w:after="0" w:line="240" w:lineRule="auto"/>
      <w:outlineLvl w:val="2"/>
    </w:pPr>
    <w:rPr>
      <w:rFonts w:ascii="Calibri Light" w:hAnsi="Calibri Light" w:cs="Calibri Light"/>
      <w:color w:val="2E74B5"/>
      <w:sz w:val="28"/>
      <w:szCs w:val="28"/>
    </w:rPr>
  </w:style>
  <w:style w:type="paragraph" w:styleId="Heading4">
    <w:name w:val="heading 4"/>
    <w:basedOn w:val="Normal"/>
    <w:next w:val="Normal"/>
    <w:link w:val="Heading4Char"/>
    <w:uiPriority w:val="99"/>
    <w:qFormat/>
    <w:rsid w:val="0049094C"/>
    <w:pPr>
      <w:keepNext/>
      <w:keepLines/>
      <w:spacing w:before="40" w:after="0"/>
      <w:outlineLvl w:val="3"/>
    </w:pPr>
    <w:rPr>
      <w:rFonts w:ascii="Calibri Light" w:hAnsi="Calibri Light" w:cs="Calibri Light"/>
      <w:color w:val="2E74B5"/>
      <w:sz w:val="24"/>
      <w:szCs w:val="24"/>
    </w:rPr>
  </w:style>
  <w:style w:type="paragraph" w:styleId="Heading5">
    <w:name w:val="heading 5"/>
    <w:basedOn w:val="Normal"/>
    <w:next w:val="Normal"/>
    <w:link w:val="Heading5Char"/>
    <w:uiPriority w:val="99"/>
    <w:qFormat/>
    <w:rsid w:val="0049094C"/>
    <w:pPr>
      <w:keepNext/>
      <w:keepLines/>
      <w:spacing w:before="40" w:after="0"/>
      <w:outlineLvl w:val="4"/>
    </w:pPr>
    <w:rPr>
      <w:rFonts w:ascii="Calibri Light" w:hAnsi="Calibri Light" w:cs="Calibri Light"/>
      <w:caps/>
      <w:color w:val="2E74B5"/>
    </w:rPr>
  </w:style>
  <w:style w:type="paragraph" w:styleId="Heading6">
    <w:name w:val="heading 6"/>
    <w:basedOn w:val="Normal"/>
    <w:next w:val="Normal"/>
    <w:link w:val="Heading6Char"/>
    <w:uiPriority w:val="99"/>
    <w:qFormat/>
    <w:rsid w:val="0049094C"/>
    <w:pPr>
      <w:keepNext/>
      <w:keepLines/>
      <w:spacing w:before="40" w:after="0"/>
      <w:outlineLvl w:val="5"/>
    </w:pPr>
    <w:rPr>
      <w:rFonts w:ascii="Calibri Light" w:hAnsi="Calibri Light" w:cs="Calibri Light"/>
      <w:i/>
      <w:iCs/>
      <w:caps/>
      <w:color w:val="1F4E79"/>
    </w:rPr>
  </w:style>
  <w:style w:type="paragraph" w:styleId="Heading7">
    <w:name w:val="heading 7"/>
    <w:basedOn w:val="Normal"/>
    <w:next w:val="Normal"/>
    <w:link w:val="Heading7Char"/>
    <w:uiPriority w:val="99"/>
    <w:qFormat/>
    <w:rsid w:val="0049094C"/>
    <w:pPr>
      <w:keepNext/>
      <w:keepLines/>
      <w:spacing w:before="40" w:after="0"/>
      <w:outlineLvl w:val="6"/>
    </w:pPr>
    <w:rPr>
      <w:rFonts w:ascii="Calibri Light" w:hAnsi="Calibri Light" w:cs="Calibri Light"/>
      <w:b/>
      <w:bCs/>
      <w:color w:val="1F4E79"/>
    </w:rPr>
  </w:style>
  <w:style w:type="paragraph" w:styleId="Heading8">
    <w:name w:val="heading 8"/>
    <w:basedOn w:val="Normal"/>
    <w:next w:val="Normal"/>
    <w:link w:val="Heading8Char"/>
    <w:uiPriority w:val="99"/>
    <w:qFormat/>
    <w:rsid w:val="0049094C"/>
    <w:pPr>
      <w:keepNext/>
      <w:keepLines/>
      <w:spacing w:before="40" w:after="0"/>
      <w:outlineLvl w:val="7"/>
    </w:pPr>
    <w:rPr>
      <w:rFonts w:ascii="Calibri Light" w:hAnsi="Calibri Light" w:cs="Calibri Light"/>
      <w:b/>
      <w:bCs/>
      <w:i/>
      <w:iCs/>
      <w:color w:val="1F4E79"/>
    </w:rPr>
  </w:style>
  <w:style w:type="paragraph" w:styleId="Heading9">
    <w:name w:val="heading 9"/>
    <w:basedOn w:val="Normal"/>
    <w:next w:val="Normal"/>
    <w:link w:val="Heading9Char"/>
    <w:uiPriority w:val="99"/>
    <w:qFormat/>
    <w:rsid w:val="0049094C"/>
    <w:pPr>
      <w:keepNext/>
      <w:keepLines/>
      <w:spacing w:before="40" w:after="0"/>
      <w:outlineLvl w:val="8"/>
    </w:pPr>
    <w:rPr>
      <w:rFonts w:ascii="Calibri Light" w:hAnsi="Calibri Light" w:cs="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9094C"/>
    <w:rPr>
      <w:rFonts w:ascii="Calibri Light" w:hAnsi="Calibri Light" w:cs="Calibri Light"/>
      <w:color w:val="1F4E79"/>
      <w:sz w:val="36"/>
      <w:szCs w:val="36"/>
    </w:rPr>
  </w:style>
  <w:style w:type="character" w:customStyle="1" w:styleId="Heading2Char">
    <w:name w:val="Heading 2 Char"/>
    <w:aliases w:val="Char Char"/>
    <w:basedOn w:val="DefaultParagraphFont"/>
    <w:link w:val="Heading2"/>
    <w:uiPriority w:val="9"/>
    <w:locked/>
    <w:rsid w:val="0049094C"/>
    <w:rPr>
      <w:rFonts w:ascii="Calibri Light" w:hAnsi="Calibri Light" w:cs="Calibri Light"/>
      <w:color w:val="2E74B5"/>
      <w:sz w:val="32"/>
      <w:szCs w:val="32"/>
    </w:rPr>
  </w:style>
  <w:style w:type="character" w:customStyle="1" w:styleId="Heading3Char">
    <w:name w:val="Heading 3 Char"/>
    <w:basedOn w:val="DefaultParagraphFont"/>
    <w:link w:val="Heading3"/>
    <w:uiPriority w:val="99"/>
    <w:locked/>
    <w:rsid w:val="0049094C"/>
    <w:rPr>
      <w:rFonts w:ascii="Calibri Light" w:hAnsi="Calibri Light" w:cs="Calibri Light"/>
      <w:color w:val="2E74B5"/>
      <w:sz w:val="28"/>
      <w:szCs w:val="28"/>
    </w:rPr>
  </w:style>
  <w:style w:type="character" w:customStyle="1" w:styleId="Heading4Char">
    <w:name w:val="Heading 4 Char"/>
    <w:basedOn w:val="DefaultParagraphFont"/>
    <w:link w:val="Heading4"/>
    <w:uiPriority w:val="99"/>
    <w:locked/>
    <w:rsid w:val="0049094C"/>
    <w:rPr>
      <w:rFonts w:ascii="Calibri Light" w:hAnsi="Calibri Light" w:cs="Calibri Light"/>
      <w:color w:val="2E74B5"/>
      <w:sz w:val="24"/>
      <w:szCs w:val="24"/>
    </w:rPr>
  </w:style>
  <w:style w:type="character" w:customStyle="1" w:styleId="Heading5Char">
    <w:name w:val="Heading 5 Char"/>
    <w:basedOn w:val="DefaultParagraphFont"/>
    <w:link w:val="Heading5"/>
    <w:uiPriority w:val="99"/>
    <w:locked/>
    <w:rsid w:val="0049094C"/>
    <w:rPr>
      <w:rFonts w:ascii="Calibri Light" w:hAnsi="Calibri Light" w:cs="Calibri Light"/>
      <w:caps/>
      <w:color w:val="2E74B5"/>
    </w:rPr>
  </w:style>
  <w:style w:type="character" w:customStyle="1" w:styleId="Heading6Char">
    <w:name w:val="Heading 6 Char"/>
    <w:basedOn w:val="DefaultParagraphFont"/>
    <w:link w:val="Heading6"/>
    <w:uiPriority w:val="99"/>
    <w:locked/>
    <w:rsid w:val="0049094C"/>
    <w:rPr>
      <w:rFonts w:ascii="Calibri Light" w:hAnsi="Calibri Light" w:cs="Calibri Light"/>
      <w:i/>
      <w:iCs/>
      <w:caps/>
      <w:color w:val="1F4E79"/>
    </w:rPr>
  </w:style>
  <w:style w:type="character" w:customStyle="1" w:styleId="Heading7Char">
    <w:name w:val="Heading 7 Char"/>
    <w:basedOn w:val="DefaultParagraphFont"/>
    <w:link w:val="Heading7"/>
    <w:uiPriority w:val="99"/>
    <w:locked/>
    <w:rsid w:val="0049094C"/>
    <w:rPr>
      <w:rFonts w:ascii="Calibri Light" w:hAnsi="Calibri Light" w:cs="Calibri Light"/>
      <w:b/>
      <w:bCs/>
      <w:color w:val="1F4E79"/>
    </w:rPr>
  </w:style>
  <w:style w:type="character" w:customStyle="1" w:styleId="Heading8Char">
    <w:name w:val="Heading 8 Char"/>
    <w:basedOn w:val="DefaultParagraphFont"/>
    <w:link w:val="Heading8"/>
    <w:uiPriority w:val="99"/>
    <w:semiHidden/>
    <w:locked/>
    <w:rsid w:val="0049094C"/>
    <w:rPr>
      <w:rFonts w:ascii="Calibri Light" w:hAnsi="Calibri Light" w:cs="Calibri Light"/>
      <w:b/>
      <w:bCs/>
      <w:i/>
      <w:iCs/>
      <w:color w:val="1F4E79"/>
    </w:rPr>
  </w:style>
  <w:style w:type="character" w:customStyle="1" w:styleId="Heading9Char">
    <w:name w:val="Heading 9 Char"/>
    <w:basedOn w:val="DefaultParagraphFont"/>
    <w:link w:val="Heading9"/>
    <w:uiPriority w:val="99"/>
    <w:semiHidden/>
    <w:locked/>
    <w:rsid w:val="0049094C"/>
    <w:rPr>
      <w:rFonts w:ascii="Calibri Light" w:hAnsi="Calibri Light" w:cs="Calibri Light"/>
      <w:i/>
      <w:iCs/>
      <w:color w:val="1F4E79"/>
    </w:rPr>
  </w:style>
  <w:style w:type="paragraph" w:styleId="ListBullet">
    <w:name w:val="List Bullet"/>
    <w:basedOn w:val="Normal"/>
    <w:uiPriority w:val="99"/>
    <w:rsid w:val="00D838E5"/>
    <w:pPr>
      <w:numPr>
        <w:numId w:val="1"/>
      </w:numPr>
    </w:pPr>
    <w:rPr>
      <w:i/>
      <w:iCs/>
    </w:rPr>
  </w:style>
  <w:style w:type="character" w:styleId="PlaceholderText">
    <w:name w:val="Placeholder Text"/>
    <w:basedOn w:val="DefaultParagraphFont"/>
    <w:uiPriority w:val="99"/>
    <w:semiHidden/>
    <w:rsid w:val="00414F89"/>
    <w:rPr>
      <w:color w:val="auto"/>
    </w:rPr>
  </w:style>
  <w:style w:type="paragraph" w:styleId="Quote">
    <w:name w:val="Quote"/>
    <w:basedOn w:val="Normal"/>
    <w:next w:val="Normal"/>
    <w:link w:val="QuoteChar"/>
    <w:uiPriority w:val="99"/>
    <w:qFormat/>
    <w:rsid w:val="0049094C"/>
    <w:pPr>
      <w:spacing w:before="120" w:after="120"/>
      <w:ind w:left="720"/>
    </w:pPr>
    <w:rPr>
      <w:color w:val="44546A"/>
      <w:sz w:val="24"/>
      <w:szCs w:val="24"/>
    </w:rPr>
  </w:style>
  <w:style w:type="character" w:customStyle="1" w:styleId="QuoteChar">
    <w:name w:val="Quote Char"/>
    <w:basedOn w:val="DefaultParagraphFont"/>
    <w:link w:val="Quote"/>
    <w:uiPriority w:val="99"/>
    <w:locked/>
    <w:rsid w:val="0049094C"/>
    <w:rPr>
      <w:color w:val="44546A"/>
      <w:sz w:val="24"/>
      <w:szCs w:val="24"/>
    </w:rPr>
  </w:style>
  <w:style w:type="table" w:styleId="TableGrid">
    <w:name w:val="Table Grid"/>
    <w:basedOn w:val="TableNormal"/>
    <w:uiPriority w:val="59"/>
    <w:rsid w:val="00D838E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99"/>
    <w:semiHidden/>
    <w:rsid w:val="00414F89"/>
    <w:pPr>
      <w:spacing w:before="317" w:after="317" w:line="240" w:lineRule="auto"/>
      <w:ind w:left="720" w:hanging="245"/>
    </w:pPr>
    <w:rPr>
      <w:b/>
      <w:bCs/>
      <w:color w:val="2E74B5"/>
    </w:rPr>
  </w:style>
  <w:style w:type="character" w:styleId="Emphasis">
    <w:name w:val="Emphasis"/>
    <w:basedOn w:val="DefaultParagraphFont"/>
    <w:uiPriority w:val="99"/>
    <w:qFormat/>
    <w:rsid w:val="0049094C"/>
    <w:rPr>
      <w:i/>
      <w:iCs/>
    </w:rPr>
  </w:style>
  <w:style w:type="paragraph" w:styleId="IntenseQuote">
    <w:name w:val="Intense Quote"/>
    <w:basedOn w:val="Normal"/>
    <w:next w:val="Normal"/>
    <w:link w:val="IntenseQuoteChar"/>
    <w:uiPriority w:val="99"/>
    <w:qFormat/>
    <w:rsid w:val="0049094C"/>
    <w:pPr>
      <w:spacing w:before="100" w:beforeAutospacing="1" w:after="240" w:line="240" w:lineRule="auto"/>
      <w:ind w:left="720"/>
      <w:jc w:val="center"/>
    </w:pPr>
    <w:rPr>
      <w:rFonts w:ascii="Calibri Light" w:hAnsi="Calibri Light" w:cs="Calibri Light"/>
      <w:color w:val="44546A"/>
      <w:spacing w:val="-6"/>
      <w:sz w:val="32"/>
      <w:szCs w:val="32"/>
    </w:rPr>
  </w:style>
  <w:style w:type="character" w:customStyle="1" w:styleId="IntenseQuoteChar">
    <w:name w:val="Intense Quote Char"/>
    <w:basedOn w:val="DefaultParagraphFont"/>
    <w:link w:val="IntenseQuote"/>
    <w:uiPriority w:val="99"/>
    <w:locked/>
    <w:rsid w:val="0049094C"/>
    <w:rPr>
      <w:rFonts w:ascii="Calibri Light" w:hAnsi="Calibri Light" w:cs="Calibri Light"/>
      <w:color w:val="44546A"/>
      <w:spacing w:val="-6"/>
      <w:sz w:val="32"/>
      <w:szCs w:val="32"/>
    </w:rPr>
  </w:style>
  <w:style w:type="paragraph" w:styleId="ListParagraph">
    <w:name w:val="List Paragraph"/>
    <w:aliases w:val="Recommendatio,Párrafo de lista,Recommendation,OBC Bullet,Dot pt,F5 List Paragraph,List Paragraph Char Char Char,Indicator Text,Numbered Para 1,Bullet 1,Bullet Points,List Paragraph2,L,3,References,Colorful List - Accent 11"/>
    <w:basedOn w:val="Normal"/>
    <w:link w:val="ListParagraphChar"/>
    <w:uiPriority w:val="99"/>
    <w:qFormat/>
    <w:rsid w:val="00D838E5"/>
    <w:pPr>
      <w:ind w:left="720"/>
    </w:pPr>
  </w:style>
  <w:style w:type="paragraph" w:styleId="Caption">
    <w:name w:val="caption"/>
    <w:basedOn w:val="Normal"/>
    <w:next w:val="Normal"/>
    <w:link w:val="CaptionChar"/>
    <w:qFormat/>
    <w:rsid w:val="0049094C"/>
    <w:pPr>
      <w:spacing w:line="240" w:lineRule="auto"/>
    </w:pPr>
    <w:rPr>
      <w:b/>
      <w:bCs/>
      <w:smallCaps/>
      <w:color w:val="44546A"/>
      <w:sz w:val="20"/>
      <w:szCs w:val="20"/>
      <w:lang w:val="bg-BG" w:eastAsia="bg-BG"/>
    </w:rPr>
  </w:style>
  <w:style w:type="paragraph" w:styleId="TOCHeading">
    <w:name w:val="TOC Heading"/>
    <w:basedOn w:val="Heading1"/>
    <w:next w:val="Normal"/>
    <w:uiPriority w:val="39"/>
    <w:qFormat/>
    <w:rsid w:val="0049094C"/>
    <w:pPr>
      <w:outlineLvl w:val="9"/>
    </w:pPr>
  </w:style>
  <w:style w:type="paragraph" w:styleId="Footer">
    <w:name w:val="footer"/>
    <w:basedOn w:val="Normal"/>
    <w:link w:val="FooterChar"/>
    <w:uiPriority w:val="99"/>
    <w:rsid w:val="00D838E5"/>
    <w:pPr>
      <w:spacing w:after="0" w:line="240" w:lineRule="auto"/>
    </w:pPr>
    <w:rPr>
      <w:b/>
      <w:bCs/>
      <w:color w:val="5B9BD5"/>
      <w:sz w:val="38"/>
      <w:szCs w:val="38"/>
    </w:rPr>
  </w:style>
  <w:style w:type="character" w:customStyle="1" w:styleId="FooterChar">
    <w:name w:val="Footer Char"/>
    <w:basedOn w:val="DefaultParagraphFont"/>
    <w:link w:val="Footer"/>
    <w:uiPriority w:val="99"/>
    <w:locked/>
    <w:rsid w:val="00D838E5"/>
    <w:rPr>
      <w:b/>
      <w:bCs/>
      <w:color w:val="5B9BD5"/>
      <w:sz w:val="38"/>
      <w:szCs w:val="38"/>
    </w:rPr>
  </w:style>
  <w:style w:type="paragraph" w:styleId="BalloonText">
    <w:name w:val="Balloon Text"/>
    <w:basedOn w:val="Normal"/>
    <w:link w:val="BalloonTextChar"/>
    <w:uiPriority w:val="99"/>
    <w:semiHidden/>
    <w:rsid w:val="00F84A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locked/>
    <w:rsid w:val="00F84A13"/>
    <w:rPr>
      <w:rFonts w:ascii="Segoe UI" w:hAnsi="Segoe UI" w:cs="Segoe UI"/>
      <w:sz w:val="18"/>
      <w:szCs w:val="18"/>
    </w:rPr>
  </w:style>
  <w:style w:type="character" w:styleId="IntenseEmphasis">
    <w:name w:val="Intense Emphasis"/>
    <w:basedOn w:val="DefaultParagraphFont"/>
    <w:uiPriority w:val="99"/>
    <w:qFormat/>
    <w:rsid w:val="0049094C"/>
    <w:rPr>
      <w:b/>
      <w:bCs/>
      <w:i/>
      <w:iCs/>
    </w:rPr>
  </w:style>
  <w:style w:type="character" w:styleId="IntenseReference">
    <w:name w:val="Intense Reference"/>
    <w:basedOn w:val="DefaultParagraphFont"/>
    <w:uiPriority w:val="99"/>
    <w:qFormat/>
    <w:rsid w:val="0049094C"/>
    <w:rPr>
      <w:b/>
      <w:bCs/>
      <w:smallCaps/>
      <w:color w:val="44546A"/>
      <w:u w:val="single"/>
    </w:rPr>
  </w:style>
  <w:style w:type="character" w:styleId="Strong">
    <w:name w:val="Strong"/>
    <w:basedOn w:val="DefaultParagraphFont"/>
    <w:uiPriority w:val="22"/>
    <w:qFormat/>
    <w:rsid w:val="0049094C"/>
    <w:rPr>
      <w:b/>
      <w:bCs/>
    </w:rPr>
  </w:style>
  <w:style w:type="character" w:styleId="SubtleEmphasis">
    <w:name w:val="Subtle Emphasis"/>
    <w:basedOn w:val="DefaultParagraphFont"/>
    <w:uiPriority w:val="99"/>
    <w:qFormat/>
    <w:rsid w:val="0049094C"/>
    <w:rPr>
      <w:i/>
      <w:iCs/>
      <w:color w:val="595959"/>
    </w:rPr>
  </w:style>
  <w:style w:type="character" w:styleId="SubtleReference">
    <w:name w:val="Subtle Reference"/>
    <w:basedOn w:val="DefaultParagraphFont"/>
    <w:uiPriority w:val="99"/>
    <w:qFormat/>
    <w:rsid w:val="0049094C"/>
    <w:rPr>
      <w:smallCaps/>
      <w:color w:val="595959"/>
      <w:u w:val="none" w:color="7F7F7F"/>
    </w:rPr>
  </w:style>
  <w:style w:type="character" w:styleId="BookTitle">
    <w:name w:val="Book Title"/>
    <w:basedOn w:val="DefaultParagraphFont"/>
    <w:uiPriority w:val="99"/>
    <w:qFormat/>
    <w:rsid w:val="0049094C"/>
    <w:rPr>
      <w:b/>
      <w:bCs/>
      <w:smallCaps/>
      <w:spacing w:val="10"/>
    </w:rPr>
  </w:style>
  <w:style w:type="paragraph" w:styleId="Title">
    <w:name w:val="Title"/>
    <w:basedOn w:val="Normal"/>
    <w:next w:val="Normal"/>
    <w:link w:val="TitleChar"/>
    <w:uiPriority w:val="99"/>
    <w:qFormat/>
    <w:rsid w:val="0049094C"/>
    <w:pPr>
      <w:spacing w:after="0" w:line="204" w:lineRule="auto"/>
    </w:pPr>
    <w:rPr>
      <w:rFonts w:ascii="Calibri Light" w:hAnsi="Calibri Light" w:cs="Calibri Light"/>
      <w:caps/>
      <w:color w:val="44546A"/>
      <w:spacing w:val="-15"/>
      <w:sz w:val="72"/>
      <w:szCs w:val="72"/>
    </w:rPr>
  </w:style>
  <w:style w:type="character" w:customStyle="1" w:styleId="TitleChar">
    <w:name w:val="Title Char"/>
    <w:basedOn w:val="DefaultParagraphFont"/>
    <w:link w:val="Title"/>
    <w:uiPriority w:val="99"/>
    <w:locked/>
    <w:rsid w:val="0049094C"/>
    <w:rPr>
      <w:rFonts w:ascii="Calibri Light" w:hAnsi="Calibri Light" w:cs="Calibri Light"/>
      <w:caps/>
      <w:color w:val="44546A"/>
      <w:spacing w:val="-15"/>
      <w:sz w:val="72"/>
      <w:szCs w:val="72"/>
    </w:rPr>
  </w:style>
  <w:style w:type="paragraph" w:styleId="Subtitle">
    <w:name w:val="Subtitle"/>
    <w:basedOn w:val="Normal"/>
    <w:next w:val="Normal"/>
    <w:link w:val="SubtitleChar"/>
    <w:uiPriority w:val="99"/>
    <w:qFormat/>
    <w:rsid w:val="0049094C"/>
    <w:pPr>
      <w:numPr>
        <w:ilvl w:val="1"/>
      </w:numPr>
      <w:spacing w:after="240" w:line="240" w:lineRule="auto"/>
    </w:pPr>
    <w:rPr>
      <w:rFonts w:ascii="Calibri Light" w:hAnsi="Calibri Light" w:cs="Calibri Light"/>
      <w:color w:val="5B9BD5"/>
      <w:sz w:val="28"/>
      <w:szCs w:val="28"/>
    </w:rPr>
  </w:style>
  <w:style w:type="character" w:customStyle="1" w:styleId="SubtitleChar">
    <w:name w:val="Subtitle Char"/>
    <w:basedOn w:val="DefaultParagraphFont"/>
    <w:link w:val="Subtitle"/>
    <w:uiPriority w:val="99"/>
    <w:locked/>
    <w:rsid w:val="0049094C"/>
    <w:rPr>
      <w:rFonts w:ascii="Calibri Light" w:hAnsi="Calibri Light" w:cs="Calibri Light"/>
      <w:color w:val="5B9BD5"/>
      <w:sz w:val="28"/>
      <w:szCs w:val="28"/>
    </w:rPr>
  </w:style>
  <w:style w:type="paragraph" w:styleId="TOC1">
    <w:name w:val="toc 1"/>
    <w:basedOn w:val="Normal"/>
    <w:next w:val="Normal"/>
    <w:autoRedefine/>
    <w:uiPriority w:val="39"/>
    <w:rsid w:val="00882664"/>
    <w:pPr>
      <w:tabs>
        <w:tab w:val="right" w:leader="dot" w:pos="8630"/>
      </w:tabs>
      <w:spacing w:after="0" w:line="240" w:lineRule="auto"/>
      <w:ind w:firstLine="720"/>
      <w:contextualSpacing/>
      <w:jc w:val="center"/>
    </w:pPr>
    <w:rPr>
      <w:rFonts w:ascii="Calibri Light" w:hAnsi="Calibri Light" w:cs="Calibri Light"/>
      <w:b/>
      <w:bCs/>
      <w:caps/>
      <w:sz w:val="24"/>
      <w:szCs w:val="24"/>
    </w:rPr>
  </w:style>
  <w:style w:type="paragraph" w:styleId="TOC2">
    <w:name w:val="toc 2"/>
    <w:basedOn w:val="Normal"/>
    <w:next w:val="Normal"/>
    <w:autoRedefine/>
    <w:uiPriority w:val="39"/>
    <w:rsid w:val="00D838E5"/>
    <w:pPr>
      <w:tabs>
        <w:tab w:val="right" w:leader="dot" w:pos="8630"/>
      </w:tabs>
      <w:spacing w:before="120" w:after="0" w:line="240" w:lineRule="auto"/>
    </w:pPr>
  </w:style>
  <w:style w:type="table" w:customStyle="1" w:styleId="Generaltable">
    <w:name w:val="General table"/>
    <w:uiPriority w:val="99"/>
    <w:rsid w:val="007044E2"/>
    <w:rPr>
      <w:rFonts w:cs="Calibri"/>
      <w:sz w:val="20"/>
      <w:szCs w:val="20"/>
    </w:rPr>
    <w:tblPr>
      <w:tblStyleRowBandSize w:val="1"/>
      <w:tblStyleColBandSize w:val="1"/>
      <w:tblBorders>
        <w:insideH w:val="single" w:sz="8" w:space="0" w:color="CBD3DE"/>
      </w:tblBorders>
      <w:tblCellMar>
        <w:top w:w="0" w:type="dxa"/>
        <w:left w:w="0" w:type="dxa"/>
        <w:bottom w:w="0" w:type="dxa"/>
        <w:right w:w="504" w:type="dxa"/>
      </w:tblCellMar>
    </w:tblPr>
  </w:style>
  <w:style w:type="paragraph" w:customStyle="1" w:styleId="Author">
    <w:name w:val="Author"/>
    <w:basedOn w:val="Normal"/>
    <w:uiPriority w:val="99"/>
    <w:rsid w:val="00D838E5"/>
    <w:pPr>
      <w:spacing w:after="0"/>
    </w:pPr>
    <w:rPr>
      <w:b/>
      <w:bCs/>
      <w:color w:val="44546A"/>
      <w:sz w:val="30"/>
      <w:szCs w:val="30"/>
    </w:rPr>
  </w:style>
  <w:style w:type="paragraph" w:styleId="Header">
    <w:name w:val="header"/>
    <w:aliases w:val="Header Char2,Header Char1 Char1,Header Char Char Char1,Header Char1 Char Char Char,Header Char Char Char Char Char,Header Char Char1,Header Char1 Char Char1,Header Char Char Char Char1,Header Char Char"/>
    <w:basedOn w:val="Normal"/>
    <w:link w:val="HeaderChar"/>
    <w:uiPriority w:val="99"/>
    <w:rsid w:val="00D838E5"/>
    <w:pPr>
      <w:spacing w:after="0" w:line="240" w:lineRule="auto"/>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
    <w:basedOn w:val="DefaultParagraphFont"/>
    <w:link w:val="Header"/>
    <w:uiPriority w:val="99"/>
    <w:locked/>
    <w:rsid w:val="00D838E5"/>
  </w:style>
  <w:style w:type="paragraph" w:styleId="ListNumber">
    <w:name w:val="List Number"/>
    <w:basedOn w:val="Normal"/>
    <w:uiPriority w:val="99"/>
    <w:rsid w:val="00D838E5"/>
    <w:pPr>
      <w:numPr>
        <w:numId w:val="2"/>
      </w:numPr>
    </w:pPr>
    <w:rPr>
      <w:i/>
      <w:iCs/>
    </w:rPr>
  </w:style>
  <w:style w:type="paragraph" w:styleId="BlockText">
    <w:name w:val="Block Text"/>
    <w:basedOn w:val="Normal"/>
    <w:uiPriority w:val="99"/>
    <w:semiHidden/>
    <w:rsid w:val="00414F89"/>
    <w:pPr>
      <w:pBdr>
        <w:top w:val="single" w:sz="2" w:space="10" w:color="2E74B5" w:shadow="1"/>
        <w:left w:val="single" w:sz="2" w:space="10" w:color="2E74B5" w:shadow="1"/>
        <w:bottom w:val="single" w:sz="2" w:space="10" w:color="2E74B5" w:shadow="1"/>
        <w:right w:val="single" w:sz="2" w:space="10" w:color="2E74B5" w:shadow="1"/>
      </w:pBdr>
      <w:ind w:left="1152" w:right="1152"/>
    </w:pPr>
    <w:rPr>
      <w:i/>
      <w:iCs/>
      <w:color w:val="2E74B5"/>
    </w:rPr>
  </w:style>
  <w:style w:type="character" w:styleId="FollowedHyperlink">
    <w:name w:val="FollowedHyperlink"/>
    <w:basedOn w:val="DefaultParagraphFont"/>
    <w:uiPriority w:val="99"/>
    <w:semiHidden/>
    <w:rsid w:val="00687519"/>
    <w:rPr>
      <w:color w:val="auto"/>
      <w:u w:val="single"/>
    </w:rPr>
  </w:style>
  <w:style w:type="character" w:styleId="Hyperlink">
    <w:name w:val="Hyperlink"/>
    <w:basedOn w:val="DefaultParagraphFont"/>
    <w:uiPriority w:val="99"/>
    <w:rsid w:val="00414F89"/>
    <w:rPr>
      <w:color w:val="2F5496"/>
      <w:u w:val="single"/>
    </w:rPr>
  </w:style>
  <w:style w:type="paragraph" w:styleId="BodyText3">
    <w:name w:val="Body Text 3"/>
    <w:basedOn w:val="Normal"/>
    <w:link w:val="BodyText3Char"/>
    <w:uiPriority w:val="99"/>
    <w:semiHidden/>
    <w:rsid w:val="00F84A13"/>
    <w:pPr>
      <w:spacing w:after="120"/>
    </w:pPr>
  </w:style>
  <w:style w:type="character" w:customStyle="1" w:styleId="BodyText3Char">
    <w:name w:val="Body Text 3 Char"/>
    <w:basedOn w:val="DefaultParagraphFont"/>
    <w:link w:val="BodyText3"/>
    <w:uiPriority w:val="99"/>
    <w:semiHidden/>
    <w:locked/>
    <w:rsid w:val="00F84A13"/>
    <w:rPr>
      <w:sz w:val="16"/>
      <w:szCs w:val="16"/>
    </w:rPr>
  </w:style>
  <w:style w:type="paragraph" w:styleId="BodyTextIndent3">
    <w:name w:val="Body Text Indent 3"/>
    <w:basedOn w:val="Normal"/>
    <w:link w:val="BodyTextIndent3Char"/>
    <w:uiPriority w:val="99"/>
    <w:semiHidden/>
    <w:rsid w:val="00F84A13"/>
    <w:pPr>
      <w:spacing w:after="120"/>
      <w:ind w:left="360"/>
    </w:pPr>
  </w:style>
  <w:style w:type="character" w:customStyle="1" w:styleId="BodyTextIndent3Char">
    <w:name w:val="Body Text Indent 3 Char"/>
    <w:basedOn w:val="DefaultParagraphFont"/>
    <w:link w:val="BodyTextIndent3"/>
    <w:uiPriority w:val="99"/>
    <w:semiHidden/>
    <w:locked/>
    <w:rsid w:val="00F84A13"/>
    <w:rPr>
      <w:sz w:val="16"/>
      <w:szCs w:val="16"/>
    </w:rPr>
  </w:style>
  <w:style w:type="character" w:styleId="CommentReference">
    <w:name w:val="annotation reference"/>
    <w:basedOn w:val="DefaultParagraphFont"/>
    <w:uiPriority w:val="99"/>
    <w:semiHidden/>
    <w:rsid w:val="00F84A13"/>
    <w:rPr>
      <w:sz w:val="16"/>
      <w:szCs w:val="16"/>
    </w:rPr>
  </w:style>
  <w:style w:type="paragraph" w:styleId="CommentText">
    <w:name w:val="annotation text"/>
    <w:basedOn w:val="Normal"/>
    <w:link w:val="CommentTextChar"/>
    <w:uiPriority w:val="99"/>
    <w:semiHidden/>
    <w:rsid w:val="00F84A13"/>
    <w:pPr>
      <w:spacing w:line="240" w:lineRule="auto"/>
    </w:pPr>
  </w:style>
  <w:style w:type="character" w:customStyle="1" w:styleId="CommentTextChar">
    <w:name w:val="Comment Text Char"/>
    <w:basedOn w:val="DefaultParagraphFont"/>
    <w:link w:val="CommentText"/>
    <w:uiPriority w:val="99"/>
    <w:semiHidden/>
    <w:locked/>
    <w:rsid w:val="00F84A13"/>
    <w:rPr>
      <w:sz w:val="20"/>
      <w:szCs w:val="20"/>
    </w:rPr>
  </w:style>
  <w:style w:type="paragraph" w:styleId="CommentSubject">
    <w:name w:val="annotation subject"/>
    <w:basedOn w:val="CommentText"/>
    <w:next w:val="CommentText"/>
    <w:link w:val="CommentSubjectChar"/>
    <w:uiPriority w:val="99"/>
    <w:semiHidden/>
    <w:rsid w:val="00F84A13"/>
    <w:rPr>
      <w:b/>
      <w:bCs/>
    </w:rPr>
  </w:style>
  <w:style w:type="character" w:customStyle="1" w:styleId="CommentSubjectChar">
    <w:name w:val="Comment Subject Char"/>
    <w:basedOn w:val="CommentTextChar"/>
    <w:link w:val="CommentSubject"/>
    <w:uiPriority w:val="99"/>
    <w:semiHidden/>
    <w:locked/>
    <w:rsid w:val="00F84A13"/>
    <w:rPr>
      <w:b/>
      <w:bCs/>
      <w:sz w:val="20"/>
      <w:szCs w:val="20"/>
    </w:rPr>
  </w:style>
  <w:style w:type="paragraph" w:styleId="DocumentMap">
    <w:name w:val="Document Map"/>
    <w:basedOn w:val="Normal"/>
    <w:link w:val="DocumentMapChar"/>
    <w:uiPriority w:val="99"/>
    <w:semiHidden/>
    <w:rsid w:val="00F84A13"/>
    <w:pPr>
      <w:spacing w:after="0" w:line="240" w:lineRule="auto"/>
    </w:pPr>
    <w:rPr>
      <w:rFonts w:ascii="Segoe UI" w:hAnsi="Segoe UI" w:cs="Segoe UI"/>
    </w:rPr>
  </w:style>
  <w:style w:type="character" w:customStyle="1" w:styleId="DocumentMapChar">
    <w:name w:val="Document Map Char"/>
    <w:basedOn w:val="DefaultParagraphFont"/>
    <w:link w:val="DocumentMap"/>
    <w:uiPriority w:val="99"/>
    <w:semiHidden/>
    <w:locked/>
    <w:rsid w:val="00F84A13"/>
    <w:rPr>
      <w:rFonts w:ascii="Segoe UI" w:hAnsi="Segoe UI" w:cs="Segoe UI"/>
      <w:sz w:val="16"/>
      <w:szCs w:val="16"/>
    </w:rPr>
  </w:style>
  <w:style w:type="paragraph" w:styleId="EndnoteText">
    <w:name w:val="endnote text"/>
    <w:basedOn w:val="Normal"/>
    <w:link w:val="EndnoteTextChar"/>
    <w:uiPriority w:val="99"/>
    <w:semiHidden/>
    <w:rsid w:val="00F84A13"/>
    <w:pPr>
      <w:spacing w:after="0" w:line="240" w:lineRule="auto"/>
    </w:pPr>
  </w:style>
  <w:style w:type="character" w:customStyle="1" w:styleId="EndnoteTextChar">
    <w:name w:val="Endnote Text Char"/>
    <w:basedOn w:val="DefaultParagraphFont"/>
    <w:link w:val="EndnoteText"/>
    <w:uiPriority w:val="99"/>
    <w:locked/>
    <w:rsid w:val="00F84A13"/>
    <w:rPr>
      <w:sz w:val="20"/>
      <w:szCs w:val="20"/>
    </w:rPr>
  </w:style>
  <w:style w:type="paragraph" w:styleId="EnvelopeReturn">
    <w:name w:val="envelope return"/>
    <w:basedOn w:val="Normal"/>
    <w:uiPriority w:val="99"/>
    <w:semiHidden/>
    <w:rsid w:val="00F84A13"/>
    <w:pPr>
      <w:spacing w:after="0" w:line="240" w:lineRule="auto"/>
    </w:pPr>
    <w:rPr>
      <w:rFonts w:ascii="Calibri Light" w:hAnsi="Calibri Light" w:cs="Calibri Light"/>
    </w:rPr>
  </w:style>
  <w:style w:type="paragraph" w:styleId="FootnoteText">
    <w:name w:val="footnote text"/>
    <w:aliases w:val="Fußnotentext arial Char,Fußnotentext arial,Footnote1,Footnote2,Footnote3,stile 1,Footnote4,Footnote5,Footnote6,Footnote7,Footnote8,Footnote9,Footnote10,Footnote11,Footnote21,Footnote31,Footnote41,Footnote51,Footnote61,Footnote71"/>
    <w:basedOn w:val="Normal"/>
    <w:link w:val="FootnoteTextChar2"/>
    <w:uiPriority w:val="99"/>
    <w:rsid w:val="00F84A13"/>
    <w:pPr>
      <w:spacing w:after="0" w:line="240" w:lineRule="auto"/>
    </w:pPr>
  </w:style>
  <w:style w:type="character" w:customStyle="1" w:styleId="FootnoteTextChar">
    <w:name w:val="Footnote Text Char"/>
    <w:aliases w:val="Fußnotentext arial Char Char,Fußnotentext arial Char1,Footnote1 Char,Footnote2 Char,Footnote3 Char,stile 1 Char,Footnote4 Char,Footnote5 Char,Footnote6 Char,Footnote7 Char,Footnote8 Char,Footnote9 Char,Footnote10 Char,Footnote11 Char"/>
    <w:basedOn w:val="DefaultParagraphFont"/>
    <w:uiPriority w:val="99"/>
    <w:locked/>
    <w:rsid w:val="001B10B4"/>
    <w:rPr>
      <w:sz w:val="24"/>
      <w:szCs w:val="24"/>
      <w:lang w:val="bg-BG" w:eastAsia="bg-BG"/>
    </w:rPr>
  </w:style>
  <w:style w:type="character" w:customStyle="1" w:styleId="FootnoteTextChar2">
    <w:name w:val="Footnote Text Char2"/>
    <w:aliases w:val="Fußnotentext arial Char Char1,Fußnotentext arial Char2,Footnote1 Char2,Footnote2 Char2,Footnote3 Char2,stile 1 Char2,Footnote4 Char2,Footnote5 Char2,Footnote6 Char2,Footnote7 Char2,Footnote8 Char2,Footnote9 Char2,Footnote10 Char2"/>
    <w:basedOn w:val="DefaultParagraphFont"/>
    <w:link w:val="FootnoteText"/>
    <w:uiPriority w:val="99"/>
    <w:locked/>
    <w:rsid w:val="00F84A13"/>
    <w:rPr>
      <w:sz w:val="20"/>
      <w:szCs w:val="20"/>
    </w:rPr>
  </w:style>
  <w:style w:type="character" w:styleId="HTMLCode">
    <w:name w:val="HTML Code"/>
    <w:basedOn w:val="DefaultParagraphFont"/>
    <w:uiPriority w:val="99"/>
    <w:semiHidden/>
    <w:rsid w:val="00F84A13"/>
    <w:rPr>
      <w:rFonts w:ascii="Consolas" w:hAnsi="Consolas" w:cs="Consolas"/>
      <w:sz w:val="20"/>
      <w:szCs w:val="20"/>
    </w:rPr>
  </w:style>
  <w:style w:type="paragraph" w:styleId="HTMLPreformatted">
    <w:name w:val="HTML Preformatted"/>
    <w:basedOn w:val="Normal"/>
    <w:link w:val="HTMLPreformattedChar"/>
    <w:uiPriority w:val="99"/>
    <w:semiHidden/>
    <w:rsid w:val="00F84A13"/>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locked/>
    <w:rsid w:val="00F84A13"/>
    <w:rPr>
      <w:rFonts w:ascii="Consolas" w:hAnsi="Consolas" w:cs="Consolas"/>
      <w:sz w:val="20"/>
      <w:szCs w:val="20"/>
    </w:rPr>
  </w:style>
  <w:style w:type="character" w:styleId="HTMLKeyboard">
    <w:name w:val="HTML Keyboard"/>
    <w:basedOn w:val="DefaultParagraphFont"/>
    <w:uiPriority w:val="99"/>
    <w:semiHidden/>
    <w:rsid w:val="00F84A13"/>
    <w:rPr>
      <w:rFonts w:ascii="Consolas" w:hAnsi="Consolas" w:cs="Consolas"/>
      <w:sz w:val="20"/>
      <w:szCs w:val="20"/>
    </w:rPr>
  </w:style>
  <w:style w:type="character" w:styleId="HTMLTypewriter">
    <w:name w:val="HTML Typewriter"/>
    <w:basedOn w:val="DefaultParagraphFont"/>
    <w:uiPriority w:val="99"/>
    <w:semiHidden/>
    <w:rsid w:val="00F84A13"/>
    <w:rPr>
      <w:rFonts w:ascii="Consolas" w:hAnsi="Consolas" w:cs="Consolas"/>
      <w:sz w:val="20"/>
      <w:szCs w:val="20"/>
    </w:rPr>
  </w:style>
  <w:style w:type="paragraph" w:styleId="MacroText">
    <w:name w:val="macro"/>
    <w:link w:val="MacroTextChar"/>
    <w:uiPriority w:val="99"/>
    <w:semiHidden/>
    <w:rsid w:val="00F84A13"/>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Consolas"/>
      <w:lang w:val="en-US" w:eastAsia="ja-JP"/>
    </w:rPr>
  </w:style>
  <w:style w:type="character" w:customStyle="1" w:styleId="MacroTextChar">
    <w:name w:val="Macro Text Char"/>
    <w:basedOn w:val="DefaultParagraphFont"/>
    <w:link w:val="MacroText"/>
    <w:uiPriority w:val="99"/>
    <w:semiHidden/>
    <w:locked/>
    <w:rsid w:val="00F84A13"/>
    <w:rPr>
      <w:rFonts w:ascii="Consolas" w:hAnsi="Consolas" w:cs="Consolas"/>
      <w:sz w:val="22"/>
      <w:szCs w:val="22"/>
      <w:lang w:val="en-US" w:eastAsia="ja-JP"/>
    </w:rPr>
  </w:style>
  <w:style w:type="paragraph" w:styleId="PlainText">
    <w:name w:val="Plain Text"/>
    <w:basedOn w:val="Normal"/>
    <w:link w:val="PlainTextChar"/>
    <w:uiPriority w:val="99"/>
    <w:semiHidden/>
    <w:rsid w:val="00F84A13"/>
    <w:pPr>
      <w:spacing w:after="0" w:line="240" w:lineRule="auto"/>
    </w:pPr>
    <w:rPr>
      <w:rFonts w:ascii="Consolas" w:hAnsi="Consolas" w:cs="Consolas"/>
    </w:rPr>
  </w:style>
  <w:style w:type="character" w:customStyle="1" w:styleId="PlainTextChar">
    <w:name w:val="Plain Text Char"/>
    <w:basedOn w:val="DefaultParagraphFont"/>
    <w:link w:val="PlainText"/>
    <w:uiPriority w:val="99"/>
    <w:semiHidden/>
    <w:locked/>
    <w:rsid w:val="00F84A13"/>
    <w:rPr>
      <w:rFonts w:ascii="Consolas" w:hAnsi="Consolas" w:cs="Consolas"/>
      <w:sz w:val="21"/>
      <w:szCs w:val="21"/>
    </w:rPr>
  </w:style>
  <w:style w:type="paragraph" w:styleId="BodyText">
    <w:name w:val="Body Text"/>
    <w:basedOn w:val="Normal"/>
    <w:link w:val="BodyTextChar"/>
    <w:uiPriority w:val="99"/>
    <w:rsid w:val="001B10B4"/>
    <w:pPr>
      <w:widowControl w:val="0"/>
      <w:overflowPunct w:val="0"/>
      <w:autoSpaceDE w:val="0"/>
      <w:autoSpaceDN w:val="0"/>
      <w:adjustRightInd w:val="0"/>
      <w:spacing w:after="0"/>
      <w:ind w:firstLine="567"/>
      <w:jc w:val="both"/>
      <w:textAlignment w:val="baseline"/>
    </w:pPr>
    <w:rPr>
      <w:rFonts w:ascii="HebarU" w:eastAsia="MS Mincho" w:hAnsi="HebarU" w:cs="HebarU"/>
      <w:sz w:val="28"/>
      <w:szCs w:val="28"/>
      <w:lang w:eastAsia="en-US"/>
    </w:rPr>
  </w:style>
  <w:style w:type="character" w:customStyle="1" w:styleId="BodyTextChar">
    <w:name w:val="Body Text Char"/>
    <w:basedOn w:val="DefaultParagraphFont"/>
    <w:link w:val="BodyText"/>
    <w:uiPriority w:val="99"/>
    <w:locked/>
    <w:rsid w:val="001B10B4"/>
    <w:rPr>
      <w:rFonts w:ascii="HebarU" w:eastAsia="MS Mincho" w:hAnsi="HebarU" w:cs="HebarU"/>
      <w:color w:val="auto"/>
      <w:sz w:val="20"/>
      <w:szCs w:val="20"/>
      <w:lang w:eastAsia="en-US"/>
    </w:rPr>
  </w:style>
  <w:style w:type="character" w:styleId="PageNumber">
    <w:name w:val="page number"/>
    <w:basedOn w:val="DefaultParagraphFont"/>
    <w:uiPriority w:val="99"/>
    <w:rsid w:val="001B10B4"/>
    <w:rPr>
      <w:sz w:val="20"/>
      <w:szCs w:val="20"/>
    </w:rPr>
  </w:style>
  <w:style w:type="paragraph" w:styleId="BodyText2">
    <w:name w:val="Body Text 2"/>
    <w:basedOn w:val="Normal"/>
    <w:link w:val="BodyText2Char"/>
    <w:uiPriority w:val="99"/>
    <w:rsid w:val="001B10B4"/>
    <w:pPr>
      <w:widowControl w:val="0"/>
      <w:overflowPunct w:val="0"/>
      <w:autoSpaceDE w:val="0"/>
      <w:autoSpaceDN w:val="0"/>
      <w:adjustRightInd w:val="0"/>
      <w:spacing w:after="0" w:line="360" w:lineRule="auto"/>
      <w:ind w:firstLine="567"/>
      <w:jc w:val="both"/>
      <w:textAlignment w:val="baseline"/>
    </w:pPr>
    <w:rPr>
      <w:rFonts w:ascii="Hebar" w:eastAsia="MS Mincho" w:hAnsi="Hebar" w:cs="Hebar"/>
      <w:lang w:eastAsia="en-US"/>
    </w:rPr>
  </w:style>
  <w:style w:type="character" w:customStyle="1" w:styleId="BodyText2Char">
    <w:name w:val="Body Text 2 Char"/>
    <w:basedOn w:val="DefaultParagraphFont"/>
    <w:link w:val="BodyText2"/>
    <w:uiPriority w:val="99"/>
    <w:locked/>
    <w:rsid w:val="001B10B4"/>
    <w:rPr>
      <w:rFonts w:ascii="Hebar" w:eastAsia="MS Mincho" w:hAnsi="Hebar" w:cs="Hebar"/>
      <w:color w:val="auto"/>
      <w:sz w:val="20"/>
      <w:szCs w:val="20"/>
      <w:lang w:eastAsia="en-US"/>
    </w:rPr>
  </w:style>
  <w:style w:type="paragraph" w:styleId="BodyTextIndent">
    <w:name w:val="Body Text Indent"/>
    <w:basedOn w:val="Normal"/>
    <w:link w:val="BodyTextIndentChar"/>
    <w:uiPriority w:val="99"/>
    <w:rsid w:val="001B10B4"/>
    <w:pPr>
      <w:widowControl w:val="0"/>
      <w:overflowPunct w:val="0"/>
      <w:autoSpaceDE w:val="0"/>
      <w:autoSpaceDN w:val="0"/>
      <w:adjustRightInd w:val="0"/>
      <w:spacing w:after="0" w:line="360" w:lineRule="auto"/>
      <w:ind w:firstLine="720"/>
      <w:jc w:val="both"/>
      <w:textAlignment w:val="baseline"/>
    </w:pPr>
    <w:rPr>
      <w:rFonts w:ascii="Times New Roman" w:eastAsia="MS Mincho" w:hAnsi="Times New Roman" w:cs="Times New Roman"/>
      <w:lang w:eastAsia="en-US"/>
    </w:rPr>
  </w:style>
  <w:style w:type="character" w:customStyle="1" w:styleId="BodyTextIndentChar">
    <w:name w:val="Body Text Indent Char"/>
    <w:basedOn w:val="DefaultParagraphFont"/>
    <w:link w:val="BodyTextIndent"/>
    <w:uiPriority w:val="99"/>
    <w:locked/>
    <w:rsid w:val="001B10B4"/>
    <w:rPr>
      <w:rFonts w:ascii="Times New Roman" w:eastAsia="MS Mincho" w:hAnsi="Times New Roman" w:cs="Times New Roman"/>
      <w:color w:val="auto"/>
      <w:sz w:val="20"/>
      <w:szCs w:val="20"/>
      <w:lang w:eastAsia="en-US"/>
    </w:rPr>
  </w:style>
  <w:style w:type="paragraph" w:styleId="BodyTextIndent2">
    <w:name w:val="Body Text Indent 2"/>
    <w:basedOn w:val="Normal"/>
    <w:link w:val="BodyTextIndent2Char"/>
    <w:uiPriority w:val="99"/>
    <w:rsid w:val="001B10B4"/>
    <w:pPr>
      <w:overflowPunct w:val="0"/>
      <w:autoSpaceDE w:val="0"/>
      <w:autoSpaceDN w:val="0"/>
      <w:adjustRightInd w:val="0"/>
      <w:spacing w:after="0" w:line="360" w:lineRule="auto"/>
      <w:ind w:firstLine="720"/>
      <w:jc w:val="both"/>
      <w:textAlignment w:val="baseline"/>
    </w:pPr>
    <w:rPr>
      <w:rFonts w:ascii="Times New Roman" w:eastAsia="MS Mincho" w:hAnsi="Times New Roman" w:cs="Times New Roman"/>
      <w:b/>
      <w:bCs/>
      <w:lang w:eastAsia="en-US"/>
    </w:rPr>
  </w:style>
  <w:style w:type="character" w:customStyle="1" w:styleId="BodyTextIndent2Char">
    <w:name w:val="Body Text Indent 2 Char"/>
    <w:basedOn w:val="DefaultParagraphFont"/>
    <w:link w:val="BodyTextIndent2"/>
    <w:uiPriority w:val="99"/>
    <w:locked/>
    <w:rsid w:val="001B10B4"/>
    <w:rPr>
      <w:rFonts w:ascii="Times New Roman" w:eastAsia="MS Mincho" w:hAnsi="Times New Roman" w:cs="Times New Roman"/>
      <w:b/>
      <w:bCs/>
      <w:color w:val="auto"/>
      <w:sz w:val="20"/>
      <w:szCs w:val="20"/>
      <w:lang w:eastAsia="en-US"/>
    </w:rPr>
  </w:style>
  <w:style w:type="paragraph" w:customStyle="1" w:styleId="Tab-R">
    <w:name w:val="Tab-R"/>
    <w:basedOn w:val="Normal"/>
    <w:uiPriority w:val="99"/>
    <w:rsid w:val="001B10B4"/>
    <w:pPr>
      <w:widowControl w:val="0"/>
      <w:tabs>
        <w:tab w:val="right" w:pos="8789"/>
      </w:tabs>
      <w:overflowPunct w:val="0"/>
      <w:autoSpaceDE w:val="0"/>
      <w:autoSpaceDN w:val="0"/>
      <w:adjustRightInd w:val="0"/>
      <w:spacing w:after="0" w:line="360" w:lineRule="auto"/>
      <w:ind w:firstLine="567"/>
      <w:jc w:val="both"/>
      <w:textAlignment w:val="baseline"/>
    </w:pPr>
    <w:rPr>
      <w:rFonts w:ascii="Times New Roman" w:eastAsia="MS Mincho" w:hAnsi="Times New Roman" w:cs="Times New Roman"/>
      <w:lang w:eastAsia="en-US"/>
    </w:rPr>
  </w:style>
  <w:style w:type="paragraph" w:styleId="NormalWeb">
    <w:name w:val="Normal (Web)"/>
    <w:basedOn w:val="Normal"/>
    <w:uiPriority w:val="99"/>
    <w:rsid w:val="001B10B4"/>
    <w:pPr>
      <w:spacing w:before="100" w:beforeAutospacing="1" w:after="100" w:afterAutospacing="1"/>
      <w:ind w:firstLine="567"/>
      <w:jc w:val="both"/>
    </w:pPr>
    <w:rPr>
      <w:rFonts w:ascii="Times New Roman" w:eastAsia="MS Mincho" w:hAnsi="Times New Roman" w:cs="Times New Roman"/>
      <w:lang w:eastAsia="bg-BG"/>
    </w:rPr>
  </w:style>
  <w:style w:type="paragraph" w:customStyle="1" w:styleId="firstline">
    <w:name w:val="firstline"/>
    <w:basedOn w:val="Normal"/>
    <w:uiPriority w:val="99"/>
    <w:rsid w:val="001B10B4"/>
    <w:pPr>
      <w:spacing w:after="0" w:line="240" w:lineRule="atLeast"/>
      <w:ind w:firstLine="640"/>
      <w:jc w:val="both"/>
    </w:pPr>
    <w:rPr>
      <w:rFonts w:ascii="Times New Roman" w:eastAsia="PMingLiU" w:hAnsi="Times New Roman" w:cs="Times New Roman"/>
      <w:color w:val="000000"/>
      <w:lang w:eastAsia="zh-TW"/>
    </w:rPr>
  </w:style>
  <w:style w:type="paragraph" w:customStyle="1" w:styleId="CharCharCharCharChar">
    <w:name w:val="Char Char Char Char Char"/>
    <w:basedOn w:val="Normal"/>
    <w:link w:val="CharCharCharCharCharChar"/>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DefaultChar">
    <w:name w:val="Default Char"/>
    <w:link w:val="DefaultCharChar"/>
    <w:uiPriority w:val="99"/>
    <w:rsid w:val="001B10B4"/>
    <w:pPr>
      <w:autoSpaceDE w:val="0"/>
      <w:autoSpaceDN w:val="0"/>
      <w:adjustRightInd w:val="0"/>
    </w:pPr>
    <w:rPr>
      <w:rFonts w:eastAsia="MS Mincho" w:cs="Calibri"/>
      <w:color w:val="000000"/>
      <w:lang w:eastAsia="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
    <w:basedOn w:val="DefaultParagraphFont"/>
    <w:uiPriority w:val="99"/>
    <w:rsid w:val="001B10B4"/>
    <w:rPr>
      <w:rFonts w:ascii="Times New Roman" w:hAnsi="Times New Roman" w:cs="Times New Roman"/>
      <w:color w:val="auto"/>
      <w:spacing w:val="0"/>
      <w:w w:val="100"/>
      <w:kern w:val="0"/>
      <w:position w:val="2"/>
      <w:sz w:val="18"/>
      <w:szCs w:val="18"/>
      <w:u w:val="none"/>
      <w:effect w:val="none"/>
      <w:vertAlign w:val="superscript"/>
      <w:lang w:val="bg-BG" w:eastAsia="en-US"/>
    </w:rPr>
  </w:style>
  <w:style w:type="character" w:customStyle="1" w:styleId="CharCharCharCharCharChar">
    <w:name w:val="Char Char Char Char Char Char"/>
    <w:link w:val="CharCharCharCharChar"/>
    <w:uiPriority w:val="99"/>
    <w:locked/>
    <w:rsid w:val="001B10B4"/>
    <w:rPr>
      <w:rFonts w:ascii="Tahoma" w:eastAsia="MS Mincho" w:hAnsi="Tahoma" w:cs="Tahoma"/>
      <w:color w:val="auto"/>
      <w:sz w:val="22"/>
      <w:szCs w:val="22"/>
      <w:lang w:val="pl-PL" w:eastAsia="pl-PL"/>
    </w:rPr>
  </w:style>
  <w:style w:type="character" w:customStyle="1" w:styleId="CharCharCharCharCharChar1Char">
    <w:name w:val="Char Char Char Char Char Char1 Char"/>
    <w:link w:val="CharCharCharCharCharChar1"/>
    <w:uiPriority w:val="99"/>
    <w:locked/>
    <w:rsid w:val="001B10B4"/>
    <w:rPr>
      <w:rFonts w:ascii="Tahoma" w:hAnsi="Tahoma" w:cs="Tahoma"/>
      <w:lang w:val="pl-PL" w:eastAsia="pl-PL"/>
    </w:rPr>
  </w:style>
  <w:style w:type="paragraph" w:customStyle="1" w:styleId="CharCharCharCharCharChar1">
    <w:name w:val="Char Char Char Char Char Char1"/>
    <w:basedOn w:val="Normal"/>
    <w:link w:val="CharCharCharCharCharChar1Char"/>
    <w:uiPriority w:val="99"/>
    <w:rsid w:val="001B10B4"/>
    <w:pPr>
      <w:tabs>
        <w:tab w:val="left" w:pos="709"/>
      </w:tabs>
      <w:spacing w:after="0"/>
      <w:ind w:firstLine="567"/>
      <w:jc w:val="both"/>
    </w:pPr>
    <w:rPr>
      <w:rFonts w:ascii="Tahoma" w:hAnsi="Tahoma" w:cs="Tahoma"/>
      <w:sz w:val="20"/>
      <w:szCs w:val="20"/>
      <w:lang w:val="pl-PL" w:eastAsia="pl-PL"/>
    </w:rPr>
  </w:style>
  <w:style w:type="paragraph" w:customStyle="1" w:styleId="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character" w:customStyle="1" w:styleId="CharCharCharCharCharChar11">
    <w:name w:val="Char Char Char Char Char Char11"/>
    <w:uiPriority w:val="99"/>
    <w:rsid w:val="001B10B4"/>
    <w:rPr>
      <w:rFonts w:ascii="Tahoma" w:hAnsi="Tahoma" w:cs="Tahoma"/>
      <w:sz w:val="24"/>
      <w:szCs w:val="24"/>
      <w:lang w:val="pl-PL" w:eastAsia="pl-PL"/>
    </w:rPr>
  </w:style>
  <w:style w:type="paragraph" w:customStyle="1" w:styleId="CharCharCharCharChar1">
    <w:name w:val="Char Char Char Char Char1"/>
    <w:basedOn w:val="Normal"/>
    <w:uiPriority w:val="99"/>
    <w:rsid w:val="001B10B4"/>
    <w:pPr>
      <w:tabs>
        <w:tab w:val="left" w:pos="709"/>
      </w:tabs>
      <w:spacing w:after="0"/>
      <w:ind w:firstLine="567"/>
      <w:jc w:val="both"/>
    </w:pPr>
    <w:rPr>
      <w:rFonts w:ascii="Tahoma" w:eastAsia="MS Mincho" w:hAnsi="Tahoma" w:cs="Tahoma"/>
      <w:lang w:val="pl-PL" w:eastAsia="pl-PL"/>
    </w:rPr>
  </w:style>
  <w:style w:type="paragraph" w:customStyle="1" w:styleId="ListParagraph1">
    <w:name w:val="List Paragraph1"/>
    <w:basedOn w:val="Normal"/>
    <w:uiPriority w:val="99"/>
    <w:rsid w:val="001B10B4"/>
    <w:pPr>
      <w:ind w:left="720" w:firstLine="567"/>
      <w:jc w:val="both"/>
    </w:pPr>
    <w:rPr>
      <w:rFonts w:eastAsia="SimSun"/>
      <w:lang w:eastAsia="zh-CN"/>
    </w:rPr>
  </w:style>
  <w:style w:type="paragraph" w:customStyle="1" w:styleId="NoSpacing1">
    <w:name w:val="No Spacing1"/>
    <w:link w:val="NoSpacingChar"/>
    <w:uiPriority w:val="99"/>
    <w:rsid w:val="001B10B4"/>
    <w:pPr>
      <w:spacing w:after="160" w:line="259" w:lineRule="auto"/>
    </w:pPr>
    <w:rPr>
      <w:rFonts w:eastAsia="MS Mincho" w:cs="Calibri"/>
    </w:rPr>
  </w:style>
  <w:style w:type="character" w:customStyle="1" w:styleId="NoSpacingChar">
    <w:name w:val="No Spacing Char"/>
    <w:link w:val="NoSpacing1"/>
    <w:uiPriority w:val="1"/>
    <w:locked/>
    <w:rsid w:val="001B10B4"/>
    <w:rPr>
      <w:rFonts w:eastAsia="MS Mincho"/>
      <w:sz w:val="22"/>
      <w:szCs w:val="22"/>
    </w:rPr>
  </w:style>
  <w:style w:type="paragraph" w:styleId="TOC3">
    <w:name w:val="toc 3"/>
    <w:basedOn w:val="Normal"/>
    <w:next w:val="Normal"/>
    <w:autoRedefine/>
    <w:uiPriority w:val="39"/>
    <w:rsid w:val="00882664"/>
    <w:pPr>
      <w:tabs>
        <w:tab w:val="right" w:leader="dot" w:pos="9630"/>
      </w:tabs>
      <w:spacing w:before="240" w:after="0" w:line="240" w:lineRule="auto"/>
      <w:ind w:firstLine="720"/>
      <w:contextualSpacing/>
      <w:jc w:val="both"/>
    </w:pPr>
    <w:rPr>
      <w:rFonts w:eastAsia="MS Mincho"/>
      <w:smallCaps/>
      <w:lang w:eastAsia="bg-BG"/>
    </w:rPr>
  </w:style>
  <w:style w:type="paragraph" w:styleId="TOC4">
    <w:name w:val="toc 4"/>
    <w:basedOn w:val="Normal"/>
    <w:next w:val="Normal"/>
    <w:autoRedefine/>
    <w:uiPriority w:val="99"/>
    <w:semiHidden/>
    <w:rsid w:val="001B10B4"/>
    <w:pPr>
      <w:spacing w:after="0"/>
      <w:ind w:firstLine="567"/>
      <w:jc w:val="both"/>
    </w:pPr>
    <w:rPr>
      <w:rFonts w:eastAsia="MS Mincho"/>
      <w:lang w:eastAsia="bg-BG"/>
    </w:rPr>
  </w:style>
  <w:style w:type="paragraph" w:styleId="TOC5">
    <w:name w:val="toc 5"/>
    <w:basedOn w:val="Normal"/>
    <w:next w:val="Normal"/>
    <w:autoRedefine/>
    <w:uiPriority w:val="99"/>
    <w:semiHidden/>
    <w:rsid w:val="001B10B4"/>
    <w:pPr>
      <w:spacing w:after="0"/>
      <w:ind w:firstLine="567"/>
      <w:jc w:val="both"/>
    </w:pPr>
    <w:rPr>
      <w:rFonts w:eastAsia="MS Mincho"/>
      <w:lang w:eastAsia="bg-BG"/>
    </w:rPr>
  </w:style>
  <w:style w:type="paragraph" w:styleId="TOC6">
    <w:name w:val="toc 6"/>
    <w:basedOn w:val="Normal"/>
    <w:next w:val="Normal"/>
    <w:autoRedefine/>
    <w:uiPriority w:val="99"/>
    <w:semiHidden/>
    <w:rsid w:val="001B10B4"/>
    <w:pPr>
      <w:spacing w:after="0"/>
      <w:ind w:firstLine="567"/>
      <w:jc w:val="both"/>
    </w:pPr>
    <w:rPr>
      <w:rFonts w:eastAsia="MS Mincho"/>
      <w:lang w:eastAsia="bg-BG"/>
    </w:rPr>
  </w:style>
  <w:style w:type="paragraph" w:styleId="TOC7">
    <w:name w:val="toc 7"/>
    <w:basedOn w:val="Normal"/>
    <w:next w:val="Normal"/>
    <w:autoRedefine/>
    <w:uiPriority w:val="99"/>
    <w:semiHidden/>
    <w:rsid w:val="001B10B4"/>
    <w:pPr>
      <w:spacing w:after="0"/>
      <w:ind w:firstLine="567"/>
      <w:jc w:val="both"/>
    </w:pPr>
    <w:rPr>
      <w:rFonts w:eastAsia="MS Mincho"/>
      <w:lang w:eastAsia="bg-BG"/>
    </w:rPr>
  </w:style>
  <w:style w:type="paragraph" w:styleId="TOC8">
    <w:name w:val="toc 8"/>
    <w:basedOn w:val="Normal"/>
    <w:next w:val="Normal"/>
    <w:autoRedefine/>
    <w:uiPriority w:val="99"/>
    <w:semiHidden/>
    <w:rsid w:val="001B10B4"/>
    <w:pPr>
      <w:spacing w:after="0"/>
      <w:ind w:firstLine="567"/>
      <w:jc w:val="both"/>
    </w:pPr>
    <w:rPr>
      <w:rFonts w:eastAsia="MS Mincho"/>
      <w:lang w:eastAsia="bg-BG"/>
    </w:rPr>
  </w:style>
  <w:style w:type="paragraph" w:styleId="TOC9">
    <w:name w:val="toc 9"/>
    <w:basedOn w:val="Normal"/>
    <w:next w:val="Normal"/>
    <w:autoRedefine/>
    <w:uiPriority w:val="99"/>
    <w:semiHidden/>
    <w:rsid w:val="001B10B4"/>
    <w:pPr>
      <w:spacing w:after="0"/>
      <w:ind w:firstLine="567"/>
      <w:jc w:val="both"/>
    </w:pPr>
    <w:rPr>
      <w:rFonts w:eastAsia="MS Mincho"/>
      <w:lang w:eastAsia="bg-BG"/>
    </w:rPr>
  </w:style>
  <w:style w:type="character" w:customStyle="1" w:styleId="st">
    <w:name w:val="st"/>
    <w:uiPriority w:val="99"/>
    <w:rsid w:val="001B10B4"/>
  </w:style>
  <w:style w:type="character" w:styleId="EndnoteReference">
    <w:name w:val="endnote reference"/>
    <w:basedOn w:val="DefaultParagraphFont"/>
    <w:uiPriority w:val="99"/>
    <w:semiHidden/>
    <w:rsid w:val="001B10B4"/>
    <w:rPr>
      <w:vertAlign w:val="superscript"/>
    </w:rPr>
  </w:style>
  <w:style w:type="table" w:styleId="TableSimple3">
    <w:name w:val="Table Simple 3"/>
    <w:basedOn w:val="TableNormal"/>
    <w:uiPriority w:val="99"/>
    <w:rsid w:val="001B10B4"/>
    <w:rPr>
      <w:rFonts w:ascii="Times New Roman" w:eastAsia="MS Mincho" w:hAnsi="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uiPriority w:val="99"/>
    <w:rsid w:val="001B10B4"/>
    <w:rPr>
      <w:rFonts w:ascii="Times New Roman" w:eastAsia="MS Mincho" w:hAnsi="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DefaultCharChar">
    <w:name w:val="Default Char Char"/>
    <w:link w:val="DefaultChar"/>
    <w:uiPriority w:val="99"/>
    <w:locked/>
    <w:rsid w:val="001B10B4"/>
    <w:rPr>
      <w:rFonts w:eastAsia="MS Mincho"/>
      <w:color w:val="000000"/>
      <w:sz w:val="22"/>
      <w:szCs w:val="22"/>
      <w:lang w:val="bg-BG"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uiPriority w:val="99"/>
    <w:rsid w:val="001B10B4"/>
    <w:pPr>
      <w:tabs>
        <w:tab w:val="left" w:pos="709"/>
      </w:tabs>
      <w:spacing w:after="0"/>
      <w:ind w:firstLine="567"/>
      <w:jc w:val="both"/>
    </w:pPr>
    <w:rPr>
      <w:rFonts w:ascii="Tahoma" w:eastAsia="MS Mincho" w:hAnsi="Tahoma" w:cs="Tahoma"/>
      <w:lang w:val="pl-PL" w:eastAsia="pl-PL"/>
    </w:rPr>
  </w:style>
  <w:style w:type="character" w:customStyle="1" w:styleId="2">
    <w:name w:val="Основен текст2"/>
    <w:uiPriority w:val="99"/>
    <w:rsid w:val="001B10B4"/>
    <w:rPr>
      <w:sz w:val="23"/>
      <w:szCs w:val="23"/>
    </w:rPr>
  </w:style>
  <w:style w:type="character" w:customStyle="1" w:styleId="16">
    <w:name w:val="Основен текст (16)"/>
    <w:uiPriority w:val="99"/>
    <w:rsid w:val="001B10B4"/>
    <w:rPr>
      <w:rFonts w:ascii="Times New Roman" w:hAnsi="Times New Roman" w:cs="Times New Roman"/>
      <w:spacing w:val="0"/>
      <w:sz w:val="23"/>
      <w:szCs w:val="23"/>
    </w:rPr>
  </w:style>
  <w:style w:type="character" w:customStyle="1" w:styleId="8">
    <w:name w:val="Основен текст (8)"/>
    <w:uiPriority w:val="99"/>
    <w:rsid w:val="001B10B4"/>
    <w:rPr>
      <w:rFonts w:ascii="Times New Roman" w:hAnsi="Times New Roman" w:cs="Times New Roman"/>
      <w:spacing w:val="0"/>
      <w:sz w:val="20"/>
      <w:szCs w:val="20"/>
    </w:rPr>
  </w:style>
  <w:style w:type="character" w:customStyle="1" w:styleId="11">
    <w:name w:val="Основен текст (11)"/>
    <w:uiPriority w:val="99"/>
    <w:rsid w:val="001B10B4"/>
    <w:rPr>
      <w:rFonts w:ascii="Times New Roman" w:hAnsi="Times New Roman" w:cs="Times New Roman"/>
      <w:spacing w:val="0"/>
      <w:sz w:val="19"/>
      <w:szCs w:val="19"/>
    </w:rPr>
  </w:style>
  <w:style w:type="character" w:customStyle="1" w:styleId="a">
    <w:name w:val="Основен текст_"/>
    <w:uiPriority w:val="99"/>
    <w:rsid w:val="001B10B4"/>
    <w:rPr>
      <w:rFonts w:ascii="Times New Roman" w:hAnsi="Times New Roman" w:cs="Times New Roman"/>
      <w:spacing w:val="0"/>
      <w:sz w:val="23"/>
      <w:szCs w:val="23"/>
    </w:rPr>
  </w:style>
  <w:style w:type="character" w:customStyle="1" w:styleId="3">
    <w:name w:val="Заглавие #3"/>
    <w:uiPriority w:val="99"/>
    <w:rsid w:val="001B10B4"/>
    <w:rPr>
      <w:rFonts w:ascii="Times New Roman" w:hAnsi="Times New Roman" w:cs="Times New Roman"/>
      <w:spacing w:val="0"/>
      <w:sz w:val="26"/>
      <w:szCs w:val="26"/>
    </w:rPr>
  </w:style>
  <w:style w:type="character" w:customStyle="1" w:styleId="1">
    <w:name w:val="Основен текст1"/>
    <w:basedOn w:val="a"/>
    <w:uiPriority w:val="99"/>
    <w:rsid w:val="001B10B4"/>
    <w:rPr>
      <w:rFonts w:ascii="Times New Roman" w:hAnsi="Times New Roman" w:cs="Times New Roman"/>
      <w:spacing w:val="0"/>
      <w:sz w:val="23"/>
      <w:szCs w:val="23"/>
    </w:rPr>
  </w:style>
  <w:style w:type="character" w:customStyle="1" w:styleId="5">
    <w:name w:val="Заглавие #5_"/>
    <w:uiPriority w:val="99"/>
    <w:rsid w:val="001B10B4"/>
    <w:rPr>
      <w:rFonts w:ascii="Times New Roman" w:hAnsi="Times New Roman" w:cs="Times New Roman"/>
      <w:spacing w:val="0"/>
      <w:sz w:val="23"/>
      <w:szCs w:val="23"/>
    </w:rPr>
  </w:style>
  <w:style w:type="character" w:customStyle="1" w:styleId="50">
    <w:name w:val="Заглавие #5"/>
    <w:basedOn w:val="5"/>
    <w:uiPriority w:val="99"/>
    <w:rsid w:val="001B10B4"/>
    <w:rPr>
      <w:rFonts w:ascii="Times New Roman" w:hAnsi="Times New Roman" w:cs="Times New Roman"/>
      <w:spacing w:val="0"/>
      <w:sz w:val="23"/>
      <w:szCs w:val="23"/>
    </w:rPr>
  </w:style>
  <w:style w:type="character" w:customStyle="1" w:styleId="9">
    <w:name w:val="Основен текст (9)_"/>
    <w:uiPriority w:val="99"/>
    <w:rsid w:val="001B10B4"/>
    <w:rPr>
      <w:rFonts w:ascii="Times New Roman" w:hAnsi="Times New Roman" w:cs="Times New Roman"/>
      <w:spacing w:val="0"/>
      <w:sz w:val="23"/>
      <w:szCs w:val="23"/>
    </w:rPr>
  </w:style>
  <w:style w:type="character" w:customStyle="1" w:styleId="90">
    <w:name w:val="Основен текст (9)"/>
    <w:basedOn w:val="9"/>
    <w:uiPriority w:val="99"/>
    <w:rsid w:val="001B10B4"/>
    <w:rPr>
      <w:rFonts w:ascii="Times New Roman" w:hAnsi="Times New Roman" w:cs="Times New Roman"/>
      <w:spacing w:val="0"/>
      <w:sz w:val="23"/>
      <w:szCs w:val="23"/>
    </w:rPr>
  </w:style>
  <w:style w:type="paragraph" w:customStyle="1" w:styleId="NormalAfter3pt">
    <w:name w:val="Normal + After:  3 pt"/>
    <w:basedOn w:val="NoSpacing1"/>
    <w:uiPriority w:val="99"/>
    <w:rsid w:val="001B10B4"/>
    <w:pPr>
      <w:jc w:val="both"/>
    </w:pPr>
    <w:rPr>
      <w:rFonts w:eastAsia="Times New Roman"/>
      <w:sz w:val="24"/>
      <w:szCs w:val="24"/>
    </w:rPr>
  </w:style>
  <w:style w:type="character" w:customStyle="1" w:styleId="FootnoteTextChar1">
    <w:name w:val="Footnote Text Char1"/>
    <w:aliases w:val="Fußnotentext arial Char11,Footnote1 Char1,Footnote2 Char1,Footnote3 Char1,stile 1 Char1,Footnote4 Char1,Footnote5 Char1,Footnote6 Char1,Footnote7 Char1,Footnote8 Char1,Footnote9 Char1,Footnote10 Char1,Footnote11 Char1,Footnote21 Cha"/>
    <w:uiPriority w:val="99"/>
    <w:locked/>
    <w:rsid w:val="001B10B4"/>
    <w:rPr>
      <w:rFonts w:ascii="Times New Roman" w:hAnsi="Times New Roman" w:cs="Times New Roman"/>
      <w:sz w:val="20"/>
      <w:szCs w:val="20"/>
    </w:rPr>
  </w:style>
  <w:style w:type="paragraph" w:customStyle="1" w:styleId="CharCharCharCharCharCharChar">
    <w:name w:val="Char Знак Знак Char Char Char Char Char Char"/>
    <w:basedOn w:val="Normal"/>
    <w:uiPriority w:val="99"/>
    <w:rsid w:val="001B10B4"/>
    <w:pPr>
      <w:tabs>
        <w:tab w:val="left" w:pos="709"/>
      </w:tabs>
      <w:spacing w:after="0"/>
      <w:ind w:firstLine="567"/>
      <w:jc w:val="both"/>
    </w:pPr>
    <w:rPr>
      <w:rFonts w:ascii="Tahoma" w:hAnsi="Tahoma" w:cs="Tahoma"/>
      <w:lang w:val="pl-PL" w:eastAsia="pl-PL"/>
    </w:rPr>
  </w:style>
  <w:style w:type="paragraph" w:customStyle="1" w:styleId="CharCharCharCharCharChar0">
    <w:name w:val="Char Знак Знак Char Char Char Char Char"/>
    <w:basedOn w:val="Normal"/>
    <w:uiPriority w:val="99"/>
    <w:rsid w:val="001B10B4"/>
    <w:pPr>
      <w:tabs>
        <w:tab w:val="left" w:pos="709"/>
      </w:tabs>
      <w:spacing w:after="0"/>
      <w:ind w:firstLine="567"/>
      <w:jc w:val="both"/>
    </w:pPr>
    <w:rPr>
      <w:rFonts w:ascii="Tahoma" w:hAnsi="Tahoma" w:cs="Tahoma"/>
      <w:lang w:val="pl-PL" w:eastAsia="pl-PL"/>
    </w:rPr>
  </w:style>
  <w:style w:type="paragraph" w:customStyle="1" w:styleId="Default">
    <w:name w:val="Default"/>
    <w:rsid w:val="001B10B4"/>
    <w:pPr>
      <w:autoSpaceDE w:val="0"/>
      <w:autoSpaceDN w:val="0"/>
      <w:adjustRightInd w:val="0"/>
    </w:pPr>
    <w:rPr>
      <w:rFonts w:cs="Calibri"/>
      <w:color w:val="000000"/>
    </w:rPr>
  </w:style>
  <w:style w:type="character" w:customStyle="1" w:styleId="Footnote">
    <w:name w:val="Footnote_"/>
    <w:uiPriority w:val="99"/>
    <w:rsid w:val="001B10B4"/>
    <w:rPr>
      <w:rFonts w:ascii="Times New Roman" w:hAnsi="Times New Roman" w:cs="Times New Roman"/>
      <w:spacing w:val="0"/>
      <w:sz w:val="19"/>
      <w:szCs w:val="19"/>
    </w:rPr>
  </w:style>
  <w:style w:type="character" w:customStyle="1" w:styleId="Headerorfooter">
    <w:name w:val="Header or footer_"/>
    <w:link w:val="Headerorfooter0"/>
    <w:uiPriority w:val="99"/>
    <w:locked/>
    <w:rsid w:val="001B10B4"/>
    <w:rPr>
      <w:rFonts w:eastAsia="Times New Roman"/>
      <w:shd w:val="clear" w:color="auto" w:fill="FFFFFF"/>
    </w:rPr>
  </w:style>
  <w:style w:type="character" w:customStyle="1" w:styleId="Headerorfooter95pt">
    <w:name w:val="Header or footer + 9.5 pt"/>
    <w:aliases w:val="Bold,Spacing 0 pt"/>
    <w:uiPriority w:val="99"/>
    <w:rsid w:val="001B10B4"/>
    <w:rPr>
      <w:rFonts w:ascii="Times New Roman" w:hAnsi="Times New Roman" w:cs="Times New Roman"/>
      <w:b/>
      <w:bCs/>
      <w:spacing w:val="10"/>
      <w:sz w:val="19"/>
      <w:szCs w:val="19"/>
    </w:rPr>
  </w:style>
  <w:style w:type="paragraph" w:customStyle="1" w:styleId="Headerorfooter0">
    <w:name w:val="Header or footer"/>
    <w:basedOn w:val="Normal"/>
    <w:link w:val="Headerorfooter"/>
    <w:uiPriority w:val="99"/>
    <w:rsid w:val="001B10B4"/>
    <w:pPr>
      <w:shd w:val="clear" w:color="auto" w:fill="FFFFFF"/>
      <w:spacing w:after="0"/>
      <w:ind w:firstLine="567"/>
      <w:jc w:val="both"/>
    </w:pPr>
    <w:rPr>
      <w:sz w:val="20"/>
      <w:szCs w:val="20"/>
      <w:lang w:val="bg-BG" w:eastAsia="bg-BG"/>
    </w:rPr>
  </w:style>
  <w:style w:type="table" w:customStyle="1" w:styleId="GridTable1Light1">
    <w:name w:val="Grid Table 1 Light1"/>
    <w:uiPriority w:val="99"/>
    <w:rsid w:val="001B10B4"/>
    <w:rPr>
      <w:rFonts w:ascii="Times New Roman" w:eastAsia="MS Mincho" w:hAnsi="Times New Roman"/>
      <w:sz w:val="20"/>
      <w:szCs w:val="20"/>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
    <w:name w:val="Table Grid Light1"/>
    <w:uiPriority w:val="99"/>
    <w:rsid w:val="001B10B4"/>
    <w:rPr>
      <w:rFonts w:ascii="Times New Roman" w:eastAsia="MS Mincho" w:hAnsi="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yle4">
    <w:name w:val="Style4"/>
    <w:basedOn w:val="Normal"/>
    <w:uiPriority w:val="99"/>
    <w:rsid w:val="001B10B4"/>
    <w:pPr>
      <w:widowControl w:val="0"/>
      <w:autoSpaceDE w:val="0"/>
      <w:autoSpaceDN w:val="0"/>
      <w:adjustRightInd w:val="0"/>
      <w:spacing w:after="0" w:line="240" w:lineRule="auto"/>
    </w:pPr>
    <w:rPr>
      <w:lang w:val="bg-BG" w:eastAsia="bg-BG"/>
    </w:rPr>
  </w:style>
  <w:style w:type="character" w:customStyle="1" w:styleId="20">
    <w:name w:val="Основен текст (2)_"/>
    <w:link w:val="21"/>
    <w:uiPriority w:val="99"/>
    <w:locked/>
    <w:rsid w:val="001B10B4"/>
    <w:rPr>
      <w:sz w:val="23"/>
      <w:szCs w:val="23"/>
      <w:shd w:val="clear" w:color="auto" w:fill="FFFFFF"/>
    </w:rPr>
  </w:style>
  <w:style w:type="paragraph" w:customStyle="1" w:styleId="21">
    <w:name w:val="Основен текст (2)"/>
    <w:basedOn w:val="Normal"/>
    <w:link w:val="20"/>
    <w:uiPriority w:val="99"/>
    <w:rsid w:val="001B10B4"/>
    <w:pPr>
      <w:shd w:val="clear" w:color="auto" w:fill="FFFFFF"/>
      <w:spacing w:before="900" w:after="120" w:line="240" w:lineRule="atLeast"/>
      <w:jc w:val="both"/>
    </w:pPr>
    <w:rPr>
      <w:sz w:val="23"/>
      <w:szCs w:val="23"/>
      <w:lang w:val="bg-BG" w:eastAsia="bg-BG"/>
    </w:rPr>
  </w:style>
  <w:style w:type="character" w:customStyle="1" w:styleId="29">
    <w:name w:val="Основен текст (29)_"/>
    <w:link w:val="290"/>
    <w:uiPriority w:val="99"/>
    <w:locked/>
    <w:rsid w:val="001B10B4"/>
    <w:rPr>
      <w:rFonts w:ascii="Calibri" w:hAnsi="Calibri" w:cs="Calibri"/>
      <w:sz w:val="21"/>
      <w:szCs w:val="21"/>
      <w:shd w:val="clear" w:color="auto" w:fill="FFFFFF"/>
    </w:rPr>
  </w:style>
  <w:style w:type="paragraph" w:customStyle="1" w:styleId="290">
    <w:name w:val="Основен текст (29)"/>
    <w:basedOn w:val="Normal"/>
    <w:link w:val="29"/>
    <w:uiPriority w:val="99"/>
    <w:rsid w:val="001B10B4"/>
    <w:pPr>
      <w:widowControl w:val="0"/>
      <w:shd w:val="clear" w:color="auto" w:fill="FFFFFF"/>
      <w:spacing w:after="0" w:line="264" w:lineRule="exact"/>
      <w:jc w:val="both"/>
    </w:pPr>
    <w:rPr>
      <w:sz w:val="21"/>
      <w:szCs w:val="21"/>
      <w:lang w:val="bg-BG" w:eastAsia="bg-BG"/>
    </w:rPr>
  </w:style>
  <w:style w:type="paragraph" w:customStyle="1" w:styleId="CharCharCharChar1">
    <w:name w:val="Char Char Char Char1"/>
    <w:basedOn w:val="Normal"/>
    <w:uiPriority w:val="99"/>
    <w:rsid w:val="001B10B4"/>
    <w:pPr>
      <w:tabs>
        <w:tab w:val="left" w:pos="709"/>
      </w:tabs>
      <w:spacing w:after="0" w:line="240" w:lineRule="auto"/>
    </w:pPr>
    <w:rPr>
      <w:rFonts w:ascii="Tahoma" w:hAnsi="Tahoma" w:cs="Tahoma"/>
      <w:lang w:val="pl-PL" w:eastAsia="pl-PL"/>
    </w:rPr>
  </w:style>
  <w:style w:type="table" w:customStyle="1" w:styleId="GridTable1Light-Accent21">
    <w:name w:val="Grid Table 1 Light - Accent 21"/>
    <w:uiPriority w:val="99"/>
    <w:rsid w:val="00B55852"/>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1Light-Accent41">
    <w:name w:val="Grid Table 1 Light - Accent 41"/>
    <w:uiPriority w:val="99"/>
    <w:rsid w:val="00B55852"/>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PlainTable11">
    <w:name w:val="Plain Table 11"/>
    <w:uiPriority w:val="41"/>
    <w:rsid w:val="00B55852"/>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
    <w:name w:val="Plain Table 21"/>
    <w:uiPriority w:val="99"/>
    <w:rsid w:val="00B55852"/>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aliases w:val="Budget 2,Обикновена таблица 31"/>
    <w:uiPriority w:val="99"/>
    <w:rsid w:val="007044E2"/>
    <w:rPr>
      <w:rFonts w:cs="Calibri"/>
      <w:sz w:val="20"/>
      <w:szCs w:val="20"/>
    </w:rPr>
    <w:tblPr>
      <w:tblStyleRowBandSize w:val="1"/>
      <w:tblStyleColBandSize w:val="1"/>
      <w:tblCellMar>
        <w:top w:w="0" w:type="dxa"/>
        <w:left w:w="108" w:type="dxa"/>
        <w:bottom w:w="0" w:type="dxa"/>
        <w:right w:w="108" w:type="dxa"/>
      </w:tblCellMar>
    </w:tblPr>
  </w:style>
  <w:style w:type="table" w:customStyle="1" w:styleId="Budget">
    <w:name w:val="Budget"/>
    <w:uiPriority w:val="99"/>
    <w:rsid w:val="007044E2"/>
    <w:rPr>
      <w:rFonts w:cs="Calibri"/>
      <w:sz w:val="20"/>
      <w:szCs w:val="20"/>
    </w:rPr>
    <w:tblPr>
      <w:tblCellMar>
        <w:top w:w="0" w:type="dxa"/>
        <w:left w:w="108" w:type="dxa"/>
        <w:bottom w:w="0" w:type="dxa"/>
        <w:right w:w="108" w:type="dxa"/>
      </w:tblCellMar>
    </w:tblPr>
  </w:style>
  <w:style w:type="paragraph" w:styleId="NoSpacing">
    <w:name w:val="No Spacing"/>
    <w:uiPriority w:val="1"/>
    <w:qFormat/>
    <w:rsid w:val="0049094C"/>
    <w:rPr>
      <w:rFonts w:cs="Calibri"/>
      <w:lang w:val="en-US" w:eastAsia="ja-JP"/>
    </w:rPr>
  </w:style>
  <w:style w:type="character" w:customStyle="1" w:styleId="CaptionChar">
    <w:name w:val="Caption Char"/>
    <w:link w:val="Caption"/>
    <w:locked/>
    <w:rsid w:val="00D028D7"/>
    <w:rPr>
      <w:b/>
      <w:bCs/>
      <w:smallCaps/>
      <w:color w:val="44546A"/>
    </w:rPr>
  </w:style>
  <w:style w:type="paragraph" w:customStyle="1" w:styleId="Source">
    <w:name w:val="Source"/>
    <w:basedOn w:val="Normal"/>
    <w:uiPriority w:val="99"/>
    <w:rsid w:val="00D028D7"/>
    <w:pPr>
      <w:spacing w:before="60" w:after="200" w:line="240" w:lineRule="auto"/>
      <w:jc w:val="right"/>
    </w:pPr>
    <w:rPr>
      <w:sz w:val="20"/>
      <w:szCs w:val="20"/>
      <w:lang w:val="bg-BG" w:eastAsia="bg-BG"/>
    </w:rPr>
  </w:style>
  <w:style w:type="paragraph" w:customStyle="1" w:styleId="texttable">
    <w:name w:val="text_table"/>
    <w:basedOn w:val="Normal"/>
    <w:uiPriority w:val="99"/>
    <w:rsid w:val="00D028D7"/>
    <w:pPr>
      <w:spacing w:before="40" w:after="40" w:line="240" w:lineRule="auto"/>
    </w:pPr>
    <w:rPr>
      <w:sz w:val="20"/>
      <w:szCs w:val="20"/>
      <w:lang w:val="bg-BG" w:eastAsia="bg-BG"/>
    </w:rPr>
  </w:style>
  <w:style w:type="table" w:customStyle="1" w:styleId="Budget21">
    <w:name w:val="Budget 21"/>
    <w:uiPriority w:val="99"/>
    <w:rsid w:val="00D60B35"/>
    <w:rPr>
      <w:rFonts w:cs="Calibri"/>
      <w:sz w:val="20"/>
      <w:szCs w:val="20"/>
    </w:rPr>
    <w:tblPr>
      <w:tblStyleRowBandSize w:val="1"/>
      <w:tblStyleColBandSize w:val="1"/>
      <w:tblCellMar>
        <w:top w:w="0" w:type="dxa"/>
        <w:left w:w="108" w:type="dxa"/>
        <w:bottom w:w="0" w:type="dxa"/>
        <w:right w:w="108" w:type="dxa"/>
      </w:tblCellMar>
    </w:tblPr>
  </w:style>
  <w:style w:type="character" w:customStyle="1" w:styleId="Heading40">
    <w:name w:val="Heading #4_"/>
    <w:basedOn w:val="DefaultParagraphFont"/>
    <w:link w:val="Heading41"/>
    <w:uiPriority w:val="99"/>
    <w:locked/>
    <w:rsid w:val="00401EAE"/>
    <w:rPr>
      <w:rFonts w:ascii="Times New Roman" w:hAnsi="Times New Roman"/>
      <w:b/>
      <w:bCs/>
      <w:sz w:val="23"/>
      <w:szCs w:val="23"/>
      <w:shd w:val="clear" w:color="auto" w:fill="FFFFFF"/>
    </w:rPr>
  </w:style>
  <w:style w:type="character" w:customStyle="1" w:styleId="Picturecaption2">
    <w:name w:val="Picture caption (2)_"/>
    <w:basedOn w:val="DefaultParagraphFont"/>
    <w:link w:val="Picturecaption20"/>
    <w:uiPriority w:val="99"/>
    <w:locked/>
    <w:rsid w:val="00401EAE"/>
    <w:rPr>
      <w:rFonts w:ascii="Times New Roman" w:hAnsi="Times New Roman"/>
      <w:sz w:val="19"/>
      <w:szCs w:val="19"/>
      <w:shd w:val="clear" w:color="auto" w:fill="FFFFFF"/>
    </w:rPr>
  </w:style>
  <w:style w:type="character" w:customStyle="1" w:styleId="Picturecaption3">
    <w:name w:val="Picture caption (3)_"/>
    <w:basedOn w:val="DefaultParagraphFont"/>
    <w:link w:val="Picturecaption31"/>
    <w:uiPriority w:val="99"/>
    <w:locked/>
    <w:rsid w:val="00401EAE"/>
    <w:rPr>
      <w:rFonts w:ascii="Times New Roman" w:hAnsi="Times New Roman"/>
      <w:sz w:val="15"/>
      <w:szCs w:val="15"/>
      <w:shd w:val="clear" w:color="auto" w:fill="FFFFFF"/>
    </w:rPr>
  </w:style>
  <w:style w:type="character" w:customStyle="1" w:styleId="Picturecaption30">
    <w:name w:val="Picture caption (3)"/>
    <w:basedOn w:val="Picturecaption3"/>
    <w:uiPriority w:val="99"/>
    <w:rsid w:val="00401EAE"/>
    <w:rPr>
      <w:rFonts w:ascii="Times New Roman" w:hAnsi="Times New Roman"/>
      <w:spacing w:val="0"/>
      <w:sz w:val="15"/>
      <w:szCs w:val="15"/>
      <w:shd w:val="clear" w:color="auto" w:fill="FFFFFF"/>
    </w:rPr>
  </w:style>
  <w:style w:type="paragraph" w:customStyle="1" w:styleId="Heading41">
    <w:name w:val="Heading #41"/>
    <w:basedOn w:val="Normal"/>
    <w:link w:val="Heading40"/>
    <w:uiPriority w:val="99"/>
    <w:rsid w:val="00401EAE"/>
    <w:pPr>
      <w:shd w:val="clear" w:color="auto" w:fill="FFFFFF"/>
      <w:spacing w:before="120" w:after="120" w:line="274" w:lineRule="exact"/>
      <w:ind w:hanging="1420"/>
      <w:jc w:val="both"/>
      <w:outlineLvl w:val="3"/>
    </w:pPr>
    <w:rPr>
      <w:rFonts w:ascii="Times New Roman" w:hAnsi="Times New Roman" w:cs="Times New Roman"/>
      <w:b/>
      <w:bCs/>
      <w:sz w:val="23"/>
      <w:szCs w:val="23"/>
      <w:lang w:val="bg-BG" w:eastAsia="bg-BG"/>
    </w:rPr>
  </w:style>
  <w:style w:type="paragraph" w:customStyle="1" w:styleId="Picturecaption20">
    <w:name w:val="Picture caption (2)"/>
    <w:basedOn w:val="Normal"/>
    <w:link w:val="Picturecaption2"/>
    <w:uiPriority w:val="99"/>
    <w:rsid w:val="00401EAE"/>
    <w:pPr>
      <w:shd w:val="clear" w:color="auto" w:fill="FFFFFF"/>
      <w:spacing w:after="0" w:line="240" w:lineRule="atLeast"/>
    </w:pPr>
    <w:rPr>
      <w:rFonts w:ascii="Times New Roman" w:hAnsi="Times New Roman" w:cs="Times New Roman"/>
      <w:sz w:val="19"/>
      <w:szCs w:val="19"/>
      <w:lang w:val="bg-BG" w:eastAsia="bg-BG"/>
    </w:rPr>
  </w:style>
  <w:style w:type="paragraph" w:customStyle="1" w:styleId="Picturecaption31">
    <w:name w:val="Picture caption (3)1"/>
    <w:basedOn w:val="Normal"/>
    <w:link w:val="Picturecaption3"/>
    <w:uiPriority w:val="99"/>
    <w:rsid w:val="00401EAE"/>
    <w:pPr>
      <w:shd w:val="clear" w:color="auto" w:fill="FFFFFF"/>
      <w:spacing w:after="0" w:line="240" w:lineRule="atLeast"/>
    </w:pPr>
    <w:rPr>
      <w:rFonts w:ascii="Times New Roman" w:hAnsi="Times New Roman" w:cs="Times New Roman"/>
      <w:sz w:val="15"/>
      <w:szCs w:val="15"/>
      <w:lang w:val="bg-BG" w:eastAsia="bg-BG"/>
    </w:rPr>
  </w:style>
  <w:style w:type="character" w:customStyle="1" w:styleId="Bodytext6">
    <w:name w:val="Body text (6)_"/>
    <w:basedOn w:val="DefaultParagraphFont"/>
    <w:link w:val="Bodytext61"/>
    <w:uiPriority w:val="99"/>
    <w:locked/>
    <w:rsid w:val="00F048AF"/>
    <w:rPr>
      <w:rFonts w:ascii="Times New Roman" w:hAnsi="Times New Roman"/>
      <w:b/>
      <w:bCs/>
      <w:sz w:val="19"/>
      <w:szCs w:val="19"/>
      <w:shd w:val="clear" w:color="auto" w:fill="FFFFFF"/>
    </w:rPr>
  </w:style>
  <w:style w:type="character" w:customStyle="1" w:styleId="Bodytext8">
    <w:name w:val="Body text (8)_"/>
    <w:basedOn w:val="DefaultParagraphFont"/>
    <w:link w:val="Bodytext81"/>
    <w:uiPriority w:val="99"/>
    <w:locked/>
    <w:rsid w:val="00F048AF"/>
    <w:rPr>
      <w:rFonts w:ascii="Times New Roman" w:hAnsi="Times New Roman"/>
      <w:sz w:val="19"/>
      <w:szCs w:val="19"/>
      <w:shd w:val="clear" w:color="auto" w:fill="FFFFFF"/>
    </w:rPr>
  </w:style>
  <w:style w:type="character" w:customStyle="1" w:styleId="Heading23">
    <w:name w:val="Heading #2 (3)_"/>
    <w:basedOn w:val="DefaultParagraphFont"/>
    <w:link w:val="Heading231"/>
    <w:uiPriority w:val="99"/>
    <w:locked/>
    <w:rsid w:val="00F048AF"/>
    <w:rPr>
      <w:rFonts w:ascii="Times New Roman" w:hAnsi="Times New Roman"/>
      <w:b/>
      <w:bCs/>
      <w:sz w:val="25"/>
      <w:szCs w:val="25"/>
      <w:shd w:val="clear" w:color="auto" w:fill="FFFFFF"/>
    </w:rPr>
  </w:style>
  <w:style w:type="character" w:customStyle="1" w:styleId="Tablecaption3">
    <w:name w:val="Table caption (3)_"/>
    <w:basedOn w:val="DefaultParagraphFont"/>
    <w:link w:val="Tablecaption31"/>
    <w:uiPriority w:val="99"/>
    <w:locked/>
    <w:rsid w:val="00F048AF"/>
    <w:rPr>
      <w:rFonts w:ascii="Times New Roman" w:hAnsi="Times New Roman"/>
      <w:sz w:val="15"/>
      <w:szCs w:val="15"/>
      <w:shd w:val="clear" w:color="auto" w:fill="FFFFFF"/>
    </w:rPr>
  </w:style>
  <w:style w:type="character" w:customStyle="1" w:styleId="Heading237">
    <w:name w:val="Heading #2 (3)7"/>
    <w:basedOn w:val="Heading23"/>
    <w:uiPriority w:val="99"/>
    <w:rsid w:val="00F048AF"/>
    <w:rPr>
      <w:rFonts w:ascii="Times New Roman" w:hAnsi="Times New Roman"/>
      <w:b/>
      <w:bCs/>
      <w:sz w:val="25"/>
      <w:szCs w:val="25"/>
      <w:shd w:val="clear" w:color="auto" w:fill="FFFFFF"/>
    </w:rPr>
  </w:style>
  <w:style w:type="character" w:customStyle="1" w:styleId="Bodytext62">
    <w:name w:val="Body text (6)2"/>
    <w:basedOn w:val="Bodytext6"/>
    <w:uiPriority w:val="99"/>
    <w:rsid w:val="00F048AF"/>
    <w:rPr>
      <w:rFonts w:ascii="Times New Roman" w:hAnsi="Times New Roman"/>
      <w:b/>
      <w:bCs/>
      <w:sz w:val="19"/>
      <w:szCs w:val="19"/>
      <w:shd w:val="clear" w:color="auto" w:fill="FFFFFF"/>
    </w:rPr>
  </w:style>
  <w:style w:type="character" w:customStyle="1" w:styleId="Bodytext80">
    <w:name w:val="Body text (8)"/>
    <w:basedOn w:val="Bodytext8"/>
    <w:uiPriority w:val="99"/>
    <w:rsid w:val="00F048AF"/>
    <w:rPr>
      <w:rFonts w:ascii="Times New Roman" w:hAnsi="Times New Roman"/>
      <w:sz w:val="19"/>
      <w:szCs w:val="19"/>
      <w:shd w:val="clear" w:color="auto" w:fill="FFFFFF"/>
    </w:rPr>
  </w:style>
  <w:style w:type="character" w:customStyle="1" w:styleId="Tablecaption">
    <w:name w:val="Table caption_"/>
    <w:basedOn w:val="DefaultParagraphFont"/>
    <w:link w:val="Tablecaption1"/>
    <w:uiPriority w:val="99"/>
    <w:locked/>
    <w:rsid w:val="00F048AF"/>
    <w:rPr>
      <w:rFonts w:ascii="Times New Roman" w:hAnsi="Times New Roman"/>
      <w:b/>
      <w:bCs/>
      <w:sz w:val="19"/>
      <w:szCs w:val="19"/>
      <w:shd w:val="clear" w:color="auto" w:fill="FFFFFF"/>
    </w:rPr>
  </w:style>
  <w:style w:type="character" w:customStyle="1" w:styleId="Tablecaption0">
    <w:name w:val="Table caption"/>
    <w:basedOn w:val="Tablecaption"/>
    <w:uiPriority w:val="99"/>
    <w:rsid w:val="00F048AF"/>
    <w:rPr>
      <w:rFonts w:ascii="Times New Roman" w:hAnsi="Times New Roman"/>
      <w:b/>
      <w:bCs/>
      <w:sz w:val="19"/>
      <w:szCs w:val="19"/>
      <w:shd w:val="clear" w:color="auto" w:fill="FFFFFF"/>
    </w:rPr>
  </w:style>
  <w:style w:type="character" w:customStyle="1" w:styleId="Tablecaption33">
    <w:name w:val="Table caption (3)3"/>
    <w:basedOn w:val="Tablecaption3"/>
    <w:uiPriority w:val="99"/>
    <w:rsid w:val="00F048AF"/>
    <w:rPr>
      <w:rFonts w:ascii="Times New Roman" w:hAnsi="Times New Roman"/>
      <w:spacing w:val="0"/>
      <w:sz w:val="15"/>
      <w:szCs w:val="15"/>
      <w:shd w:val="clear" w:color="auto" w:fill="FFFFFF"/>
    </w:rPr>
  </w:style>
  <w:style w:type="paragraph" w:customStyle="1" w:styleId="Bodytext61">
    <w:name w:val="Body text (6)1"/>
    <w:basedOn w:val="Normal"/>
    <w:link w:val="Bodytext6"/>
    <w:uiPriority w:val="99"/>
    <w:rsid w:val="00F048AF"/>
    <w:pPr>
      <w:shd w:val="clear" w:color="auto" w:fill="FFFFFF"/>
      <w:spacing w:after="960" w:line="240" w:lineRule="atLeast"/>
    </w:pPr>
    <w:rPr>
      <w:rFonts w:ascii="Times New Roman" w:hAnsi="Times New Roman" w:cs="Times New Roman"/>
      <w:b/>
      <w:bCs/>
      <w:sz w:val="19"/>
      <w:szCs w:val="19"/>
      <w:lang w:val="bg-BG" w:eastAsia="bg-BG"/>
    </w:rPr>
  </w:style>
  <w:style w:type="paragraph" w:customStyle="1" w:styleId="Bodytext81">
    <w:name w:val="Body text (8)1"/>
    <w:basedOn w:val="Normal"/>
    <w:link w:val="Bodytext8"/>
    <w:uiPriority w:val="99"/>
    <w:rsid w:val="00F048AF"/>
    <w:pPr>
      <w:shd w:val="clear" w:color="auto" w:fill="FFFFFF"/>
      <w:spacing w:after="0" w:line="226" w:lineRule="exact"/>
      <w:jc w:val="both"/>
    </w:pPr>
    <w:rPr>
      <w:rFonts w:ascii="Times New Roman" w:hAnsi="Times New Roman" w:cs="Times New Roman"/>
      <w:sz w:val="19"/>
      <w:szCs w:val="19"/>
      <w:lang w:val="bg-BG" w:eastAsia="bg-BG"/>
    </w:rPr>
  </w:style>
  <w:style w:type="paragraph" w:customStyle="1" w:styleId="Heading231">
    <w:name w:val="Heading #2 (3)1"/>
    <w:basedOn w:val="Normal"/>
    <w:link w:val="Heading23"/>
    <w:uiPriority w:val="99"/>
    <w:rsid w:val="00F048AF"/>
    <w:pPr>
      <w:shd w:val="clear" w:color="auto" w:fill="FFFFFF"/>
      <w:spacing w:before="780" w:after="300" w:line="322" w:lineRule="exact"/>
      <w:ind w:hanging="440"/>
      <w:outlineLvl w:val="1"/>
    </w:pPr>
    <w:rPr>
      <w:rFonts w:ascii="Times New Roman" w:hAnsi="Times New Roman" w:cs="Times New Roman"/>
      <w:b/>
      <w:bCs/>
      <w:sz w:val="25"/>
      <w:szCs w:val="25"/>
      <w:lang w:val="bg-BG" w:eastAsia="bg-BG"/>
    </w:rPr>
  </w:style>
  <w:style w:type="paragraph" w:customStyle="1" w:styleId="Tablecaption31">
    <w:name w:val="Table caption (3)1"/>
    <w:basedOn w:val="Normal"/>
    <w:link w:val="Tablecaption3"/>
    <w:uiPriority w:val="99"/>
    <w:rsid w:val="00F048AF"/>
    <w:pPr>
      <w:shd w:val="clear" w:color="auto" w:fill="FFFFFF"/>
      <w:spacing w:after="0" w:line="240" w:lineRule="atLeast"/>
    </w:pPr>
    <w:rPr>
      <w:rFonts w:ascii="Times New Roman" w:hAnsi="Times New Roman" w:cs="Times New Roman"/>
      <w:sz w:val="15"/>
      <w:szCs w:val="15"/>
      <w:lang w:val="bg-BG" w:eastAsia="bg-BG"/>
    </w:rPr>
  </w:style>
  <w:style w:type="paragraph" w:customStyle="1" w:styleId="Tablecaption1">
    <w:name w:val="Table caption1"/>
    <w:basedOn w:val="Normal"/>
    <w:link w:val="Tablecaption"/>
    <w:uiPriority w:val="99"/>
    <w:rsid w:val="00F048AF"/>
    <w:pPr>
      <w:shd w:val="clear" w:color="auto" w:fill="FFFFFF"/>
      <w:spacing w:after="0" w:line="240" w:lineRule="atLeast"/>
    </w:pPr>
    <w:rPr>
      <w:rFonts w:ascii="Times New Roman" w:hAnsi="Times New Roman" w:cs="Times New Roman"/>
      <w:b/>
      <w:bCs/>
      <w:sz w:val="19"/>
      <w:szCs w:val="19"/>
      <w:lang w:val="bg-BG" w:eastAsia="bg-BG"/>
    </w:rPr>
  </w:style>
  <w:style w:type="table" w:styleId="LightGrid-Accent4">
    <w:name w:val="Light Grid Accent 4"/>
    <w:basedOn w:val="TableNormal"/>
    <w:uiPriority w:val="62"/>
    <w:rsid w:val="002D0976"/>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2D0976"/>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2-Accent4">
    <w:name w:val="Medium Shading 2 Accent 4"/>
    <w:basedOn w:val="TableNormal"/>
    <w:uiPriority w:val="64"/>
    <w:rsid w:val="002D0976"/>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2D097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2D0976"/>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2">
    <w:name w:val="Medium Shading 1 Accent 2"/>
    <w:basedOn w:val="TableNormal"/>
    <w:uiPriority w:val="63"/>
    <w:rsid w:val="002D0976"/>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2D0976"/>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65"/>
    <w:rsid w:val="002D0976"/>
    <w:rPr>
      <w:rFonts w:asciiTheme="minorHAnsi" w:eastAsiaTheme="minorHAnsi" w:hAnsi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Normal1">
    <w:name w:val="Normal1"/>
    <w:rsid w:val="002D0976"/>
    <w:pPr>
      <w:pBdr>
        <w:top w:val="nil"/>
        <w:left w:val="nil"/>
        <w:bottom w:val="nil"/>
        <w:right w:val="nil"/>
        <w:between w:val="nil"/>
      </w:pBdr>
      <w:spacing w:after="160" w:line="259" w:lineRule="auto"/>
    </w:pPr>
    <w:rPr>
      <w:rFonts w:eastAsia="Calibri" w:cs="Calibri"/>
      <w:color w:val="000000"/>
    </w:rPr>
  </w:style>
  <w:style w:type="paragraph" w:customStyle="1" w:styleId="rtecenter">
    <w:name w:val="rtecenter"/>
    <w:basedOn w:val="Normal"/>
    <w:rsid w:val="002D0976"/>
    <w:pPr>
      <w:spacing w:before="100" w:beforeAutospacing="1" w:after="100" w:afterAutospacing="1" w:line="240" w:lineRule="auto"/>
    </w:pPr>
    <w:rPr>
      <w:rFonts w:ascii="Times New Roman" w:hAnsi="Times New Roman" w:cs="Times New Roman"/>
      <w:sz w:val="24"/>
      <w:szCs w:val="24"/>
      <w:lang w:val="bg-BG" w:eastAsia="bg-BG"/>
    </w:rPr>
  </w:style>
  <w:style w:type="table" w:customStyle="1" w:styleId="PlainTable41">
    <w:name w:val="Plain Table 41"/>
    <w:basedOn w:val="TableNormal"/>
    <w:uiPriority w:val="44"/>
    <w:rsid w:val="002D0976"/>
    <w:rPr>
      <w:rFonts w:asciiTheme="minorHAnsi" w:eastAsiaTheme="minorHAnsi" w:hAnsiTheme="minorHAnsi" w:cstheme="minorBidi"/>
      <w:lang w:eastAsia="en-US"/>
    </w:rPr>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D0976"/>
    <w:rPr>
      <w:rFonts w:ascii="Cambria" w:eastAsiaTheme="minorHAnsi" w:hAnsi="Cambria" w:cstheme="minorBidi"/>
      <w:lang w:eastAsia="en-US"/>
    </w:rPr>
  </w:style>
  <w:style w:type="character" w:customStyle="1" w:styleId="HeaderChar1">
    <w:name w:val="Header Char1"/>
    <w:aliases w:val="Header Char2 Char Char2,Header Char1 Char1 Char Char2,Header Char Char Char1 Char Char2,Header Char1 Char Char Char Char Char2,Header Char Char Char Char Char Char Char2,Header Char Char1 Char Char2,Header Char1 Char Char1 Char Char1"/>
    <w:uiPriority w:val="99"/>
    <w:locked/>
    <w:rsid w:val="00077A95"/>
    <w:rPr>
      <w:rFonts w:ascii="Arial" w:hAnsi="Arial"/>
      <w:smallCaps/>
      <w:noProof/>
      <w:color w:val="404040" w:themeColor="text1" w:themeTint="BF"/>
      <w:spacing w:val="10"/>
      <w:sz w:val="18"/>
      <w:szCs w:val="20"/>
      <w:lang w:val="en-US" w:eastAsia="en-US"/>
    </w:rPr>
  </w:style>
  <w:style w:type="table" w:styleId="LightShading">
    <w:name w:val="Light Shading"/>
    <w:basedOn w:val="TableNormal"/>
    <w:uiPriority w:val="60"/>
    <w:rsid w:val="00077A95"/>
    <w:pPr>
      <w:spacing w:after="200" w:line="276" w:lineRule="auto"/>
    </w:pPr>
    <w:rPr>
      <w:rFonts w:asciiTheme="minorHAnsi" w:eastAsiaTheme="minorEastAsia" w:hAnsiTheme="minorHAnsi" w:cstheme="minorBid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Normal"/>
    <w:next w:val="LightShading-Accent6"/>
    <w:uiPriority w:val="99"/>
    <w:rsid w:val="00077A95"/>
    <w:pPr>
      <w:spacing w:after="200" w:line="276" w:lineRule="auto"/>
    </w:pPr>
    <w:rPr>
      <w:rFonts w:asciiTheme="minorHAnsi" w:eastAsia="MS Mincho" w:hAnsiTheme="minorHAnsi" w:cstheme="minorBidi"/>
      <w:color w:val="000000"/>
      <w:lang w:val="en-GB" w:eastAsia="en-GB" w:bidi="en-GB"/>
    </w:rPr>
    <w:tblPr>
      <w:tblStyleRowBandSize w:val="1"/>
      <w:tblStyleColBandSize w:val="1"/>
      <w:tblInd w:w="113" w:type="dxa"/>
      <w:tblBorders>
        <w:top w:val="single" w:sz="8" w:space="0" w:color="777C84"/>
        <w:bottom w:val="single" w:sz="8" w:space="0" w:color="777C84"/>
      </w:tblBorders>
    </w:tblPr>
    <w:tblStylePr w:type="fir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character" w:customStyle="1" w:styleId="ListParagraphChar">
    <w:name w:val="List Paragraph Char"/>
    <w:aliases w:val="Recommendatio Char,Párrafo de lista Char,Recommendation Char,OBC Bullet Char,Dot pt Char,F5 List Paragraph Char,List Paragraph Char Char Char Char,Indicator Text Char,Numbered Para 1 Char,Bullet 1 Char,Bullet Points Char,L Char"/>
    <w:link w:val="ListParagraph"/>
    <w:uiPriority w:val="34"/>
    <w:qFormat/>
    <w:locked/>
    <w:rsid w:val="00077A95"/>
    <w:rPr>
      <w:rFonts w:cs="Calibri"/>
      <w:lang w:val="en-US" w:eastAsia="ja-JP"/>
    </w:rPr>
  </w:style>
  <w:style w:type="table" w:styleId="LightShading-Accent6">
    <w:name w:val="Light Shading Accent 6"/>
    <w:basedOn w:val="TableNormal"/>
    <w:uiPriority w:val="60"/>
    <w:rsid w:val="00077A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NoList1">
    <w:name w:val="No List1"/>
    <w:next w:val="NoList"/>
    <w:uiPriority w:val="99"/>
    <w:semiHidden/>
    <w:unhideWhenUsed/>
    <w:rsid w:val="006C2740"/>
  </w:style>
  <w:style w:type="table" w:customStyle="1" w:styleId="TableGrid1">
    <w:name w:val="Table Grid1"/>
    <w:basedOn w:val="TableNormal"/>
    <w:next w:val="TableGrid"/>
    <w:uiPriority w:val="59"/>
    <w:rsid w:val="006C274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table1">
    <w:name w:val="General table1"/>
    <w:uiPriority w:val="99"/>
    <w:rsid w:val="006C2740"/>
    <w:rPr>
      <w:rFonts w:cs="Calibri"/>
      <w:sz w:val="20"/>
      <w:szCs w:val="20"/>
    </w:rPr>
    <w:tblPr>
      <w:tblStyleRowBandSize w:val="1"/>
      <w:tblStyleColBandSize w:val="1"/>
      <w:tblBorders>
        <w:insideH w:val="single" w:sz="8" w:space="0" w:color="CBD3DE"/>
      </w:tblBorders>
      <w:tblCellMar>
        <w:top w:w="0" w:type="dxa"/>
        <w:left w:w="0" w:type="dxa"/>
        <w:bottom w:w="0" w:type="dxa"/>
        <w:right w:w="504" w:type="dxa"/>
      </w:tblCellMar>
    </w:tblPr>
  </w:style>
  <w:style w:type="table" w:customStyle="1" w:styleId="TableSimple31">
    <w:name w:val="Table Simple 31"/>
    <w:basedOn w:val="TableNormal"/>
    <w:next w:val="TableSimple3"/>
    <w:uiPriority w:val="99"/>
    <w:rsid w:val="006C2740"/>
    <w:rPr>
      <w:rFonts w:ascii="Times New Roman" w:eastAsia="MS Mincho" w:hAnsi="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31">
    <w:name w:val="Table Classic 31"/>
    <w:basedOn w:val="TableNormal"/>
    <w:next w:val="TableClassic3"/>
    <w:uiPriority w:val="99"/>
    <w:rsid w:val="006C2740"/>
    <w:rPr>
      <w:rFonts w:ascii="Times New Roman" w:eastAsia="MS Mincho" w:hAnsi="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GridTable1Light11">
    <w:name w:val="Grid Table 1 Light11"/>
    <w:uiPriority w:val="99"/>
    <w:rsid w:val="006C2740"/>
    <w:rPr>
      <w:rFonts w:ascii="Times New Roman" w:eastAsia="MS Mincho" w:hAnsi="Times New Roman"/>
      <w:sz w:val="20"/>
      <w:szCs w:val="20"/>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eGridLight11">
    <w:name w:val="Table Grid Light11"/>
    <w:uiPriority w:val="99"/>
    <w:rsid w:val="006C2740"/>
    <w:rPr>
      <w:rFonts w:ascii="Times New Roman" w:eastAsia="MS Mincho" w:hAnsi="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Accent211">
    <w:name w:val="Grid Table 1 Light - Accent 211"/>
    <w:uiPriority w:val="99"/>
    <w:rsid w:val="006C2740"/>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1Light-Accent411">
    <w:name w:val="Grid Table 1 Light - Accent 411"/>
    <w:uiPriority w:val="99"/>
    <w:rsid w:val="006C2740"/>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PlainTable111">
    <w:name w:val="Plain Table 111"/>
    <w:uiPriority w:val="41"/>
    <w:rsid w:val="006C2740"/>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1">
    <w:name w:val="Plain Table 211"/>
    <w:uiPriority w:val="99"/>
    <w:rsid w:val="006C2740"/>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11">
    <w:name w:val="Обикновена таблица 311"/>
    <w:uiPriority w:val="99"/>
    <w:rsid w:val="006C2740"/>
    <w:rPr>
      <w:rFonts w:cs="Calibri"/>
      <w:sz w:val="20"/>
      <w:szCs w:val="20"/>
    </w:rPr>
    <w:tblPr>
      <w:tblStyleRowBandSize w:val="1"/>
      <w:tblStyleColBandSize w:val="1"/>
      <w:tblCellMar>
        <w:top w:w="0" w:type="dxa"/>
        <w:left w:w="108" w:type="dxa"/>
        <w:bottom w:w="0" w:type="dxa"/>
        <w:right w:w="108" w:type="dxa"/>
      </w:tblCellMar>
    </w:tblPr>
  </w:style>
  <w:style w:type="table" w:customStyle="1" w:styleId="Budget1">
    <w:name w:val="Budget1"/>
    <w:uiPriority w:val="99"/>
    <w:rsid w:val="006C2740"/>
    <w:rPr>
      <w:rFonts w:cs="Calibri"/>
      <w:sz w:val="20"/>
      <w:szCs w:val="20"/>
    </w:rPr>
    <w:tblPr>
      <w:tblCellMar>
        <w:top w:w="0" w:type="dxa"/>
        <w:left w:w="108" w:type="dxa"/>
        <w:bottom w:w="0" w:type="dxa"/>
        <w:right w:w="108" w:type="dxa"/>
      </w:tblCellMar>
    </w:tblPr>
  </w:style>
  <w:style w:type="table" w:customStyle="1" w:styleId="Budget211">
    <w:name w:val="Budget 211"/>
    <w:uiPriority w:val="99"/>
    <w:rsid w:val="006C2740"/>
    <w:rPr>
      <w:rFonts w:cs="Calibri"/>
      <w:sz w:val="20"/>
      <w:szCs w:val="20"/>
    </w:rPr>
    <w:tblPr>
      <w:tblStyleRowBandSize w:val="1"/>
      <w:tblStyleColBandSize w:val="1"/>
      <w:tblCellMar>
        <w:top w:w="0" w:type="dxa"/>
        <w:left w:w="108" w:type="dxa"/>
        <w:bottom w:w="0" w:type="dxa"/>
        <w:right w:w="108" w:type="dxa"/>
      </w:tblCellMar>
    </w:tblPr>
  </w:style>
  <w:style w:type="table" w:customStyle="1" w:styleId="LightGrid-Accent41">
    <w:name w:val="Light Grid - Accent 41"/>
    <w:basedOn w:val="TableNormal"/>
    <w:next w:val="LightGrid-Accent4"/>
    <w:uiPriority w:val="62"/>
    <w:rsid w:val="006C2740"/>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41">
    <w:name w:val="Light List - Accent 41"/>
    <w:basedOn w:val="TableNormal"/>
    <w:next w:val="LightList-Accent4"/>
    <w:uiPriority w:val="61"/>
    <w:rsid w:val="006C2740"/>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Shading2-Accent41">
    <w:name w:val="Medium Shading 2 - Accent 41"/>
    <w:basedOn w:val="TableNormal"/>
    <w:next w:val="MediumShading2-Accent4"/>
    <w:uiPriority w:val="64"/>
    <w:rsid w:val="006C2740"/>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Accent41">
    <w:name w:val="Medium List 2 - Accent 41"/>
    <w:basedOn w:val="TableNormal"/>
    <w:next w:val="MediumList2-Accent4"/>
    <w:uiPriority w:val="66"/>
    <w:rsid w:val="006C274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3-Accent41">
    <w:name w:val="Medium Grid 3 - Accent 41"/>
    <w:basedOn w:val="TableNormal"/>
    <w:next w:val="MediumGrid3-Accent4"/>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31">
    <w:name w:val="Medium Grid 3 - Accent 31"/>
    <w:basedOn w:val="TableNormal"/>
    <w:next w:val="MediumGrid3-Accent3"/>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21">
    <w:name w:val="Medium Grid 3 - Accent 21"/>
    <w:basedOn w:val="TableNormal"/>
    <w:next w:val="MediumGrid3-Accent2"/>
    <w:uiPriority w:val="69"/>
    <w:rsid w:val="006C2740"/>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Shading1-Accent21">
    <w:name w:val="Medium Shading 1 - Accent 21"/>
    <w:basedOn w:val="TableNormal"/>
    <w:next w:val="MediumShading1-Accent2"/>
    <w:uiPriority w:val="63"/>
    <w:rsid w:val="006C2740"/>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List-Accent21">
    <w:name w:val="Light List - Accent 21"/>
    <w:basedOn w:val="TableNormal"/>
    <w:next w:val="LightList-Accent2"/>
    <w:uiPriority w:val="61"/>
    <w:rsid w:val="006C2740"/>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65"/>
    <w:rsid w:val="006C2740"/>
    <w:rPr>
      <w:rFonts w:asciiTheme="minorHAnsi" w:eastAsiaTheme="minorHAnsi" w:hAnsi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PlainTable411">
    <w:name w:val="Plain Table 411"/>
    <w:basedOn w:val="TableNormal"/>
    <w:uiPriority w:val="44"/>
    <w:rsid w:val="006C2740"/>
    <w:rPr>
      <w:rFonts w:asciiTheme="minorHAnsi" w:eastAsiaTheme="minorHAnsi" w:hAnsiTheme="minorHAnsi" w:cstheme="minorBidi"/>
      <w:lang w:eastAsia="en-US"/>
    </w:rPr>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1">
    <w:name w:val="Light Shading1"/>
    <w:basedOn w:val="TableNormal"/>
    <w:next w:val="LightShading"/>
    <w:uiPriority w:val="60"/>
    <w:rsid w:val="006C2740"/>
    <w:pPr>
      <w:spacing w:after="200" w:line="276" w:lineRule="auto"/>
    </w:pPr>
    <w:rPr>
      <w:rFonts w:asciiTheme="minorHAnsi" w:eastAsiaTheme="minorEastAsia" w:hAnsiTheme="minorHAnsi" w:cstheme="minorBid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1">
    <w:name w:val="Light Shading - Accent 611"/>
    <w:basedOn w:val="TableNormal"/>
    <w:next w:val="LightShading-Accent6"/>
    <w:uiPriority w:val="99"/>
    <w:rsid w:val="006C2740"/>
    <w:pPr>
      <w:spacing w:after="200" w:line="276" w:lineRule="auto"/>
    </w:pPr>
    <w:rPr>
      <w:rFonts w:asciiTheme="minorHAnsi" w:eastAsia="MS Mincho" w:hAnsiTheme="minorHAnsi" w:cstheme="minorBidi"/>
      <w:color w:val="000000"/>
      <w:lang w:val="en-GB" w:eastAsia="en-GB" w:bidi="en-GB"/>
    </w:rPr>
    <w:tblPr>
      <w:tblStyleRowBandSize w:val="1"/>
      <w:tblStyleColBandSize w:val="1"/>
      <w:tblInd w:w="113" w:type="dxa"/>
      <w:tblBorders>
        <w:top w:val="single" w:sz="8" w:space="0" w:color="777C84"/>
        <w:bottom w:val="single" w:sz="8" w:space="0" w:color="777C84"/>
      </w:tblBorders>
    </w:tblPr>
    <w:tblStylePr w:type="fir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0" w:after="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LightShading-Accent62">
    <w:name w:val="Light Shading - Accent 62"/>
    <w:basedOn w:val="TableNormal"/>
    <w:next w:val="LightShading-Accent6"/>
    <w:uiPriority w:val="60"/>
    <w:rsid w:val="006C274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1817">
      <w:bodyDiv w:val="1"/>
      <w:marLeft w:val="0"/>
      <w:marRight w:val="0"/>
      <w:marTop w:val="0"/>
      <w:marBottom w:val="0"/>
      <w:divBdr>
        <w:top w:val="none" w:sz="0" w:space="0" w:color="auto"/>
        <w:left w:val="none" w:sz="0" w:space="0" w:color="auto"/>
        <w:bottom w:val="none" w:sz="0" w:space="0" w:color="auto"/>
        <w:right w:val="none" w:sz="0" w:space="0" w:color="auto"/>
      </w:divBdr>
    </w:div>
    <w:div w:id="342248379">
      <w:bodyDiv w:val="1"/>
      <w:marLeft w:val="0"/>
      <w:marRight w:val="0"/>
      <w:marTop w:val="0"/>
      <w:marBottom w:val="0"/>
      <w:divBdr>
        <w:top w:val="none" w:sz="0" w:space="0" w:color="auto"/>
        <w:left w:val="none" w:sz="0" w:space="0" w:color="auto"/>
        <w:bottom w:val="none" w:sz="0" w:space="0" w:color="auto"/>
        <w:right w:val="none" w:sz="0" w:space="0" w:color="auto"/>
      </w:divBdr>
    </w:div>
    <w:div w:id="617613695">
      <w:bodyDiv w:val="1"/>
      <w:marLeft w:val="0"/>
      <w:marRight w:val="0"/>
      <w:marTop w:val="0"/>
      <w:marBottom w:val="0"/>
      <w:divBdr>
        <w:top w:val="none" w:sz="0" w:space="0" w:color="auto"/>
        <w:left w:val="none" w:sz="0" w:space="0" w:color="auto"/>
        <w:bottom w:val="none" w:sz="0" w:space="0" w:color="auto"/>
        <w:right w:val="none" w:sz="0" w:space="0" w:color="auto"/>
      </w:divBdr>
      <w:divsChild>
        <w:div w:id="250428358">
          <w:marLeft w:val="0"/>
          <w:marRight w:val="0"/>
          <w:marTop w:val="0"/>
          <w:marBottom w:val="0"/>
          <w:divBdr>
            <w:top w:val="none" w:sz="0" w:space="0" w:color="auto"/>
            <w:left w:val="none" w:sz="0" w:space="0" w:color="auto"/>
            <w:bottom w:val="none" w:sz="0" w:space="0" w:color="auto"/>
            <w:right w:val="none" w:sz="0" w:space="0" w:color="auto"/>
          </w:divBdr>
          <w:divsChild>
            <w:div w:id="1918976839">
              <w:marLeft w:val="0"/>
              <w:marRight w:val="0"/>
              <w:marTop w:val="0"/>
              <w:marBottom w:val="0"/>
              <w:divBdr>
                <w:top w:val="none" w:sz="0" w:space="0" w:color="auto"/>
                <w:left w:val="none" w:sz="0" w:space="0" w:color="auto"/>
                <w:bottom w:val="none" w:sz="0" w:space="0" w:color="auto"/>
                <w:right w:val="none" w:sz="0" w:space="0" w:color="auto"/>
              </w:divBdr>
              <w:divsChild>
                <w:div w:id="460810497">
                  <w:marLeft w:val="0"/>
                  <w:marRight w:val="0"/>
                  <w:marTop w:val="0"/>
                  <w:marBottom w:val="0"/>
                  <w:divBdr>
                    <w:top w:val="none" w:sz="0" w:space="0" w:color="auto"/>
                    <w:left w:val="none" w:sz="0" w:space="0" w:color="auto"/>
                    <w:bottom w:val="none" w:sz="0" w:space="0" w:color="auto"/>
                    <w:right w:val="none" w:sz="0" w:space="0" w:color="auto"/>
                  </w:divBdr>
                </w:div>
                <w:div w:id="20727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80339">
      <w:bodyDiv w:val="1"/>
      <w:marLeft w:val="0"/>
      <w:marRight w:val="0"/>
      <w:marTop w:val="0"/>
      <w:marBottom w:val="0"/>
      <w:divBdr>
        <w:top w:val="none" w:sz="0" w:space="0" w:color="auto"/>
        <w:left w:val="none" w:sz="0" w:space="0" w:color="auto"/>
        <w:bottom w:val="none" w:sz="0" w:space="0" w:color="auto"/>
        <w:right w:val="none" w:sz="0" w:space="0" w:color="auto"/>
      </w:divBdr>
    </w:div>
    <w:div w:id="755203911">
      <w:bodyDiv w:val="1"/>
      <w:marLeft w:val="0"/>
      <w:marRight w:val="0"/>
      <w:marTop w:val="0"/>
      <w:marBottom w:val="0"/>
      <w:divBdr>
        <w:top w:val="none" w:sz="0" w:space="0" w:color="auto"/>
        <w:left w:val="none" w:sz="0" w:space="0" w:color="auto"/>
        <w:bottom w:val="none" w:sz="0" w:space="0" w:color="auto"/>
        <w:right w:val="none" w:sz="0" w:space="0" w:color="auto"/>
      </w:divBdr>
    </w:div>
    <w:div w:id="852383806">
      <w:marLeft w:val="0"/>
      <w:marRight w:val="0"/>
      <w:marTop w:val="0"/>
      <w:marBottom w:val="0"/>
      <w:divBdr>
        <w:top w:val="none" w:sz="0" w:space="0" w:color="auto"/>
        <w:left w:val="none" w:sz="0" w:space="0" w:color="auto"/>
        <w:bottom w:val="none" w:sz="0" w:space="0" w:color="auto"/>
        <w:right w:val="none" w:sz="0" w:space="0" w:color="auto"/>
      </w:divBdr>
    </w:div>
    <w:div w:id="852383807">
      <w:marLeft w:val="0"/>
      <w:marRight w:val="0"/>
      <w:marTop w:val="0"/>
      <w:marBottom w:val="0"/>
      <w:divBdr>
        <w:top w:val="none" w:sz="0" w:space="0" w:color="auto"/>
        <w:left w:val="none" w:sz="0" w:space="0" w:color="auto"/>
        <w:bottom w:val="none" w:sz="0" w:space="0" w:color="auto"/>
        <w:right w:val="none" w:sz="0" w:space="0" w:color="auto"/>
      </w:divBdr>
    </w:div>
    <w:div w:id="852383808">
      <w:marLeft w:val="0"/>
      <w:marRight w:val="0"/>
      <w:marTop w:val="0"/>
      <w:marBottom w:val="0"/>
      <w:divBdr>
        <w:top w:val="none" w:sz="0" w:space="0" w:color="auto"/>
        <w:left w:val="none" w:sz="0" w:space="0" w:color="auto"/>
        <w:bottom w:val="none" w:sz="0" w:space="0" w:color="auto"/>
        <w:right w:val="none" w:sz="0" w:space="0" w:color="auto"/>
      </w:divBdr>
    </w:div>
    <w:div w:id="852383809">
      <w:marLeft w:val="0"/>
      <w:marRight w:val="0"/>
      <w:marTop w:val="0"/>
      <w:marBottom w:val="0"/>
      <w:divBdr>
        <w:top w:val="none" w:sz="0" w:space="0" w:color="auto"/>
        <w:left w:val="none" w:sz="0" w:space="0" w:color="auto"/>
        <w:bottom w:val="none" w:sz="0" w:space="0" w:color="auto"/>
        <w:right w:val="none" w:sz="0" w:space="0" w:color="auto"/>
      </w:divBdr>
    </w:div>
    <w:div w:id="852383810">
      <w:marLeft w:val="0"/>
      <w:marRight w:val="0"/>
      <w:marTop w:val="0"/>
      <w:marBottom w:val="0"/>
      <w:divBdr>
        <w:top w:val="none" w:sz="0" w:space="0" w:color="auto"/>
        <w:left w:val="none" w:sz="0" w:space="0" w:color="auto"/>
        <w:bottom w:val="none" w:sz="0" w:space="0" w:color="auto"/>
        <w:right w:val="none" w:sz="0" w:space="0" w:color="auto"/>
      </w:divBdr>
    </w:div>
    <w:div w:id="852383811">
      <w:marLeft w:val="0"/>
      <w:marRight w:val="0"/>
      <w:marTop w:val="0"/>
      <w:marBottom w:val="0"/>
      <w:divBdr>
        <w:top w:val="none" w:sz="0" w:space="0" w:color="auto"/>
        <w:left w:val="none" w:sz="0" w:space="0" w:color="auto"/>
        <w:bottom w:val="none" w:sz="0" w:space="0" w:color="auto"/>
        <w:right w:val="none" w:sz="0" w:space="0" w:color="auto"/>
      </w:divBdr>
    </w:div>
    <w:div w:id="852383812">
      <w:marLeft w:val="0"/>
      <w:marRight w:val="0"/>
      <w:marTop w:val="0"/>
      <w:marBottom w:val="0"/>
      <w:divBdr>
        <w:top w:val="none" w:sz="0" w:space="0" w:color="auto"/>
        <w:left w:val="none" w:sz="0" w:space="0" w:color="auto"/>
        <w:bottom w:val="none" w:sz="0" w:space="0" w:color="auto"/>
        <w:right w:val="none" w:sz="0" w:space="0" w:color="auto"/>
      </w:divBdr>
    </w:div>
    <w:div w:id="852383813">
      <w:marLeft w:val="0"/>
      <w:marRight w:val="0"/>
      <w:marTop w:val="0"/>
      <w:marBottom w:val="0"/>
      <w:divBdr>
        <w:top w:val="none" w:sz="0" w:space="0" w:color="auto"/>
        <w:left w:val="none" w:sz="0" w:space="0" w:color="auto"/>
        <w:bottom w:val="none" w:sz="0" w:space="0" w:color="auto"/>
        <w:right w:val="none" w:sz="0" w:space="0" w:color="auto"/>
      </w:divBdr>
    </w:div>
    <w:div w:id="982734306">
      <w:bodyDiv w:val="1"/>
      <w:marLeft w:val="0"/>
      <w:marRight w:val="0"/>
      <w:marTop w:val="0"/>
      <w:marBottom w:val="0"/>
      <w:divBdr>
        <w:top w:val="none" w:sz="0" w:space="0" w:color="auto"/>
        <w:left w:val="none" w:sz="0" w:space="0" w:color="auto"/>
        <w:bottom w:val="none" w:sz="0" w:space="0" w:color="auto"/>
        <w:right w:val="none" w:sz="0" w:space="0" w:color="auto"/>
      </w:divBdr>
    </w:div>
    <w:div w:id="1204370857">
      <w:bodyDiv w:val="1"/>
      <w:marLeft w:val="0"/>
      <w:marRight w:val="0"/>
      <w:marTop w:val="0"/>
      <w:marBottom w:val="0"/>
      <w:divBdr>
        <w:top w:val="none" w:sz="0" w:space="0" w:color="auto"/>
        <w:left w:val="none" w:sz="0" w:space="0" w:color="auto"/>
        <w:bottom w:val="none" w:sz="0" w:space="0" w:color="auto"/>
        <w:right w:val="none" w:sz="0" w:space="0" w:color="auto"/>
      </w:divBdr>
    </w:div>
    <w:div w:id="1897860519">
      <w:bodyDiv w:val="1"/>
      <w:marLeft w:val="0"/>
      <w:marRight w:val="0"/>
      <w:marTop w:val="0"/>
      <w:marBottom w:val="0"/>
      <w:divBdr>
        <w:top w:val="none" w:sz="0" w:space="0" w:color="auto"/>
        <w:left w:val="none" w:sz="0" w:space="0" w:color="auto"/>
        <w:bottom w:val="none" w:sz="0" w:space="0" w:color="auto"/>
        <w:right w:val="none" w:sz="0" w:space="0" w:color="auto"/>
      </w:divBdr>
      <w:divsChild>
        <w:div w:id="1813713817">
          <w:marLeft w:val="0"/>
          <w:marRight w:val="0"/>
          <w:marTop w:val="0"/>
          <w:marBottom w:val="0"/>
          <w:divBdr>
            <w:top w:val="none" w:sz="0" w:space="0" w:color="auto"/>
            <w:left w:val="none" w:sz="0" w:space="0" w:color="auto"/>
            <w:bottom w:val="none" w:sz="0" w:space="0" w:color="auto"/>
            <w:right w:val="none" w:sz="0" w:space="0" w:color="auto"/>
          </w:divBdr>
          <w:divsChild>
            <w:div w:id="2101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604772229558291E-2"/>
          <c:y val="7.9669653362295284E-2"/>
          <c:w val="0.89441174627116149"/>
          <c:h val="0.68655624943433768"/>
        </c:manualLayout>
      </c:layout>
      <c:lineChart>
        <c:grouping val="standard"/>
        <c:varyColors val="0"/>
        <c:ser>
          <c:idx val="0"/>
          <c:order val="0"/>
          <c:spPr>
            <a:ln w="25400"/>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7524-4066-8FA4-7BA23CCABB9A}"/>
                </c:ext>
              </c:extLst>
            </c:dLbl>
            <c:dLbl>
              <c:idx val="1"/>
              <c:layout>
                <c:manualLayout>
                  <c:x val="0.27648796292807948"/>
                  <c:y val="0.14726452606597829"/>
                </c:manualLayout>
              </c:layout>
              <c:tx>
                <c:rich>
                  <a:bodyPr/>
                  <a:lstStyle/>
                  <a:p>
                    <a:pPr>
                      <a:defRPr/>
                    </a:pPr>
                    <a:r>
                      <a:rPr lang="bg-BG" b="1">
                        <a:solidFill>
                          <a:schemeClr val="accent1"/>
                        </a:solidFill>
                      </a:rPr>
                      <a:t>ЕС 28</a:t>
                    </a:r>
                    <a:endParaRPr lang="bg-BG"/>
                  </a:p>
                </c:rich>
              </c:tx>
              <c:spPr/>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524-4066-8FA4-7BA23CCABB9A}"/>
                </c:ext>
              </c:extLst>
            </c:dLbl>
            <c:dLbl>
              <c:idx val="2"/>
              <c:delete val="1"/>
              <c:extLst>
                <c:ext xmlns:c15="http://schemas.microsoft.com/office/drawing/2012/chart" uri="{CE6537A1-D6FC-4f65-9D91-7224C49458BB}"/>
                <c:ext xmlns:c16="http://schemas.microsoft.com/office/drawing/2014/chart" uri="{C3380CC4-5D6E-409C-BE32-E72D297353CC}">
                  <c16:uniqueId val="{00000002-7524-4066-8FA4-7BA23CCABB9A}"/>
                </c:ext>
              </c:extLst>
            </c:dLbl>
            <c:dLbl>
              <c:idx val="3"/>
              <c:delete val="1"/>
              <c:extLst>
                <c:ext xmlns:c15="http://schemas.microsoft.com/office/drawing/2012/chart" uri="{CE6537A1-D6FC-4f65-9D91-7224C49458BB}"/>
                <c:ext xmlns:c16="http://schemas.microsoft.com/office/drawing/2014/chart" uri="{C3380CC4-5D6E-409C-BE32-E72D297353CC}">
                  <c16:uniqueId val="{00000003-7524-4066-8FA4-7BA23CCABB9A}"/>
                </c:ext>
              </c:extLst>
            </c:dLbl>
            <c:dLbl>
              <c:idx val="4"/>
              <c:delete val="1"/>
              <c:extLst>
                <c:ext xmlns:c15="http://schemas.microsoft.com/office/drawing/2012/chart" uri="{CE6537A1-D6FC-4f65-9D91-7224C49458BB}"/>
                <c:ext xmlns:c16="http://schemas.microsoft.com/office/drawing/2014/chart" uri="{C3380CC4-5D6E-409C-BE32-E72D297353CC}">
                  <c16:uniqueId val="{00000004-7524-4066-8FA4-7BA23CCABB9A}"/>
                </c:ext>
              </c:extLst>
            </c:dLbl>
            <c:dLbl>
              <c:idx val="5"/>
              <c:delete val="1"/>
              <c:extLst>
                <c:ext xmlns:c15="http://schemas.microsoft.com/office/drawing/2012/chart" uri="{CE6537A1-D6FC-4f65-9D91-7224C49458BB}"/>
                <c:ext xmlns:c16="http://schemas.microsoft.com/office/drawing/2014/chart" uri="{C3380CC4-5D6E-409C-BE32-E72D297353CC}">
                  <c16:uniqueId val="{00000005-7524-4066-8FA4-7BA23CCABB9A}"/>
                </c:ext>
              </c:extLst>
            </c:dLbl>
            <c:dLbl>
              <c:idx val="6"/>
              <c:delete val="1"/>
              <c:extLst>
                <c:ext xmlns:c15="http://schemas.microsoft.com/office/drawing/2012/chart" uri="{CE6537A1-D6FC-4f65-9D91-7224C49458BB}"/>
                <c:ext xmlns:c16="http://schemas.microsoft.com/office/drawing/2014/chart" uri="{C3380CC4-5D6E-409C-BE32-E72D297353CC}">
                  <c16:uniqueId val="{00000006-7524-4066-8FA4-7BA23CCABB9A}"/>
                </c:ext>
              </c:extLst>
            </c:dLbl>
            <c:dLbl>
              <c:idx val="7"/>
              <c:delete val="1"/>
              <c:extLst>
                <c:ext xmlns:c15="http://schemas.microsoft.com/office/drawing/2012/chart" uri="{CE6537A1-D6FC-4f65-9D91-7224C49458BB}"/>
                <c:ext xmlns:c16="http://schemas.microsoft.com/office/drawing/2014/chart" uri="{C3380CC4-5D6E-409C-BE32-E72D297353CC}">
                  <c16:uniqueId val="{00000007-7524-4066-8FA4-7BA23CCABB9A}"/>
                </c:ext>
              </c:extLst>
            </c:dLbl>
            <c:dLbl>
              <c:idx val="8"/>
              <c:delete val="1"/>
              <c:extLst>
                <c:ext xmlns:c15="http://schemas.microsoft.com/office/drawing/2012/chart" uri="{CE6537A1-D6FC-4f65-9D91-7224C49458BB}"/>
                <c:ext xmlns:c16="http://schemas.microsoft.com/office/drawing/2014/chart" uri="{C3380CC4-5D6E-409C-BE32-E72D297353CC}">
                  <c16:uniqueId val="{00000008-7524-4066-8FA4-7BA23CCABB9A}"/>
                </c:ext>
              </c:extLst>
            </c:dLbl>
            <c:dLbl>
              <c:idx val="9"/>
              <c:delete val="1"/>
              <c:extLst>
                <c:ext xmlns:c15="http://schemas.microsoft.com/office/drawing/2012/chart" uri="{CE6537A1-D6FC-4f65-9D91-7224C49458BB}"/>
                <c:ext xmlns:c16="http://schemas.microsoft.com/office/drawing/2014/chart" uri="{C3380CC4-5D6E-409C-BE32-E72D297353CC}">
                  <c16:uniqueId val="{00000009-7524-4066-8FA4-7BA23CCABB9A}"/>
                </c:ext>
              </c:extLst>
            </c:dLbl>
            <c:dLbl>
              <c:idx val="10"/>
              <c:delete val="1"/>
              <c:extLst>
                <c:ext xmlns:c15="http://schemas.microsoft.com/office/drawing/2012/chart" uri="{CE6537A1-D6FC-4f65-9D91-7224C49458BB}"/>
                <c:ext xmlns:c16="http://schemas.microsoft.com/office/drawing/2014/chart" uri="{C3380CC4-5D6E-409C-BE32-E72D297353CC}">
                  <c16:uniqueId val="{0000000A-7524-4066-8FA4-7BA23CCABB9A}"/>
                </c:ext>
              </c:extLst>
            </c:dLbl>
            <c:dLbl>
              <c:idx val="11"/>
              <c:delete val="1"/>
              <c:extLst>
                <c:ext xmlns:c15="http://schemas.microsoft.com/office/drawing/2012/chart" uri="{CE6537A1-D6FC-4f65-9D91-7224C49458BB}"/>
                <c:ext xmlns:c16="http://schemas.microsoft.com/office/drawing/2014/chart" uri="{C3380CC4-5D6E-409C-BE32-E72D297353CC}">
                  <c16:uniqueId val="{0000000B-7524-4066-8FA4-7BA23CCABB9A}"/>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multiLvlStrRef>
              <c:f>'[Chart in Microsoft Word]Data'!$J$19:$S$20</c:f>
              <c:multiLvlStrCache>
                <c:ptCount val="10"/>
                <c:lvl>
                  <c:pt idx="0">
                    <c:v>I</c:v>
                  </c:pt>
                  <c:pt idx="1">
                    <c:v>II</c:v>
                  </c:pt>
                  <c:pt idx="2">
                    <c:v>III</c:v>
                  </c:pt>
                  <c:pt idx="3">
                    <c:v>IV</c:v>
                  </c:pt>
                  <c:pt idx="4">
                    <c:v>I</c:v>
                  </c:pt>
                  <c:pt idx="5">
                    <c:v>II</c:v>
                  </c:pt>
                  <c:pt idx="6">
                    <c:v>III</c:v>
                  </c:pt>
                  <c:pt idx="7">
                    <c:v>IV</c:v>
                  </c:pt>
                  <c:pt idx="8">
                    <c:v>I</c:v>
                  </c:pt>
                  <c:pt idx="9">
                    <c:v>II</c:v>
                  </c:pt>
                </c:lvl>
                <c:lvl>
                  <c:pt idx="0">
                    <c:v>2018</c:v>
                  </c:pt>
                  <c:pt idx="4">
                    <c:v>2019</c:v>
                  </c:pt>
                  <c:pt idx="8">
                    <c:v>2020</c:v>
                  </c:pt>
                </c:lvl>
              </c:multiLvlStrCache>
            </c:multiLvlStrRef>
          </c:cat>
          <c:val>
            <c:numRef>
              <c:f>'[Chart in Microsoft Word]Data'!$J$21:$S$21</c:f>
              <c:numCache>
                <c:formatCode>General</c:formatCode>
                <c:ptCount val="10"/>
                <c:pt idx="0">
                  <c:v>2.7</c:v>
                </c:pt>
                <c:pt idx="1">
                  <c:v>2.4</c:v>
                </c:pt>
                <c:pt idx="2">
                  <c:v>1.8</c:v>
                </c:pt>
                <c:pt idx="3">
                  <c:v>1.5</c:v>
                </c:pt>
                <c:pt idx="4">
                  <c:v>1.7000000000000006</c:v>
                </c:pt>
                <c:pt idx="5">
                  <c:v>1.5</c:v>
                </c:pt>
                <c:pt idx="6">
                  <c:v>1.6</c:v>
                </c:pt>
                <c:pt idx="7">
                  <c:v>1.2</c:v>
                </c:pt>
                <c:pt idx="8">
                  <c:v>-2.7</c:v>
                </c:pt>
                <c:pt idx="9">
                  <c:v>-13.9</c:v>
                </c:pt>
              </c:numCache>
            </c:numRef>
          </c:val>
          <c:smooth val="0"/>
          <c:extLst>
            <c:ext xmlns:c16="http://schemas.microsoft.com/office/drawing/2014/chart" uri="{C3380CC4-5D6E-409C-BE32-E72D297353CC}">
              <c16:uniqueId val="{0000000C-7524-4066-8FA4-7BA23CCABB9A}"/>
            </c:ext>
          </c:extLst>
        </c:ser>
        <c:ser>
          <c:idx val="1"/>
          <c:order val="1"/>
          <c:spPr>
            <a:ln w="25400">
              <a:prstDash val="dash"/>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D-7524-4066-8FA4-7BA23CCABB9A}"/>
                </c:ext>
              </c:extLst>
            </c:dLbl>
            <c:dLbl>
              <c:idx val="1"/>
              <c:delete val="1"/>
              <c:extLst>
                <c:ext xmlns:c15="http://schemas.microsoft.com/office/drawing/2012/chart" uri="{CE6537A1-D6FC-4f65-9D91-7224C49458BB}"/>
                <c:ext xmlns:c16="http://schemas.microsoft.com/office/drawing/2014/chart" uri="{C3380CC4-5D6E-409C-BE32-E72D297353CC}">
                  <c16:uniqueId val="{0000000E-7524-4066-8FA4-7BA23CCABB9A}"/>
                </c:ext>
              </c:extLst>
            </c:dLbl>
            <c:dLbl>
              <c:idx val="2"/>
              <c:delete val="1"/>
              <c:extLst>
                <c:ext xmlns:c15="http://schemas.microsoft.com/office/drawing/2012/chart" uri="{CE6537A1-D6FC-4f65-9D91-7224C49458BB}"/>
                <c:ext xmlns:c16="http://schemas.microsoft.com/office/drawing/2014/chart" uri="{C3380CC4-5D6E-409C-BE32-E72D297353CC}">
                  <c16:uniqueId val="{0000000F-7524-4066-8FA4-7BA23CCABB9A}"/>
                </c:ext>
              </c:extLst>
            </c:dLbl>
            <c:dLbl>
              <c:idx val="3"/>
              <c:delete val="1"/>
              <c:extLst>
                <c:ext xmlns:c15="http://schemas.microsoft.com/office/drawing/2012/chart" uri="{CE6537A1-D6FC-4f65-9D91-7224C49458BB}"/>
                <c:ext xmlns:c16="http://schemas.microsoft.com/office/drawing/2014/chart" uri="{C3380CC4-5D6E-409C-BE32-E72D297353CC}">
                  <c16:uniqueId val="{00000010-7524-4066-8FA4-7BA23CCABB9A}"/>
                </c:ext>
              </c:extLst>
            </c:dLbl>
            <c:dLbl>
              <c:idx val="4"/>
              <c:layout>
                <c:manualLayout>
                  <c:x val="0.1373130392193799"/>
                  <c:y val="0.23617017932638645"/>
                </c:manualLayout>
              </c:layout>
              <c:tx>
                <c:rich>
                  <a:bodyPr/>
                  <a:lstStyle/>
                  <a:p>
                    <a:pPr>
                      <a:defRPr/>
                    </a:pPr>
                    <a:r>
                      <a:rPr lang="bg-BG" b="1">
                        <a:solidFill>
                          <a:schemeClr val="accent2"/>
                        </a:solidFill>
                      </a:rPr>
                      <a:t>еврозона</a:t>
                    </a:r>
                    <a:endParaRPr lang="bg-BG"/>
                  </a:p>
                </c:rich>
              </c:tx>
              <c:spPr/>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7524-4066-8FA4-7BA23CCABB9A}"/>
                </c:ext>
              </c:extLst>
            </c:dLbl>
            <c:dLbl>
              <c:idx val="5"/>
              <c:delete val="1"/>
              <c:extLst>
                <c:ext xmlns:c15="http://schemas.microsoft.com/office/drawing/2012/chart" uri="{CE6537A1-D6FC-4f65-9D91-7224C49458BB}"/>
                <c:ext xmlns:c16="http://schemas.microsoft.com/office/drawing/2014/chart" uri="{C3380CC4-5D6E-409C-BE32-E72D297353CC}">
                  <c16:uniqueId val="{00000012-7524-4066-8FA4-7BA23CCABB9A}"/>
                </c:ext>
              </c:extLst>
            </c:dLbl>
            <c:dLbl>
              <c:idx val="6"/>
              <c:delete val="1"/>
              <c:extLst>
                <c:ext xmlns:c15="http://schemas.microsoft.com/office/drawing/2012/chart" uri="{CE6537A1-D6FC-4f65-9D91-7224C49458BB}"/>
                <c:ext xmlns:c16="http://schemas.microsoft.com/office/drawing/2014/chart" uri="{C3380CC4-5D6E-409C-BE32-E72D297353CC}">
                  <c16:uniqueId val="{00000013-7524-4066-8FA4-7BA23CCABB9A}"/>
                </c:ext>
              </c:extLst>
            </c:dLbl>
            <c:dLbl>
              <c:idx val="7"/>
              <c:delete val="1"/>
              <c:extLst>
                <c:ext xmlns:c15="http://schemas.microsoft.com/office/drawing/2012/chart" uri="{CE6537A1-D6FC-4f65-9D91-7224C49458BB}"/>
                <c:ext xmlns:c16="http://schemas.microsoft.com/office/drawing/2014/chart" uri="{C3380CC4-5D6E-409C-BE32-E72D297353CC}">
                  <c16:uniqueId val="{00000014-7524-4066-8FA4-7BA23CCABB9A}"/>
                </c:ext>
              </c:extLst>
            </c:dLbl>
            <c:dLbl>
              <c:idx val="8"/>
              <c:delete val="1"/>
              <c:extLst>
                <c:ext xmlns:c15="http://schemas.microsoft.com/office/drawing/2012/chart" uri="{CE6537A1-D6FC-4f65-9D91-7224C49458BB}"/>
                <c:ext xmlns:c16="http://schemas.microsoft.com/office/drawing/2014/chart" uri="{C3380CC4-5D6E-409C-BE32-E72D297353CC}">
                  <c16:uniqueId val="{00000015-7524-4066-8FA4-7BA23CCABB9A}"/>
                </c:ext>
              </c:extLst>
            </c:dLbl>
            <c:dLbl>
              <c:idx val="9"/>
              <c:delete val="1"/>
              <c:extLst>
                <c:ext xmlns:c15="http://schemas.microsoft.com/office/drawing/2012/chart" uri="{CE6537A1-D6FC-4f65-9D91-7224C49458BB}"/>
                <c:ext xmlns:c16="http://schemas.microsoft.com/office/drawing/2014/chart" uri="{C3380CC4-5D6E-409C-BE32-E72D297353CC}">
                  <c16:uniqueId val="{00000016-7524-4066-8FA4-7BA23CCABB9A}"/>
                </c:ext>
              </c:extLst>
            </c:dLbl>
            <c:dLbl>
              <c:idx val="10"/>
              <c:delete val="1"/>
              <c:extLst>
                <c:ext xmlns:c15="http://schemas.microsoft.com/office/drawing/2012/chart" uri="{CE6537A1-D6FC-4f65-9D91-7224C49458BB}"/>
                <c:ext xmlns:c16="http://schemas.microsoft.com/office/drawing/2014/chart" uri="{C3380CC4-5D6E-409C-BE32-E72D297353CC}">
                  <c16:uniqueId val="{00000017-7524-4066-8FA4-7BA23CCABB9A}"/>
                </c:ext>
              </c:extLst>
            </c:dLbl>
            <c:dLbl>
              <c:idx val="11"/>
              <c:delete val="1"/>
              <c:extLst>
                <c:ext xmlns:c15="http://schemas.microsoft.com/office/drawing/2012/chart" uri="{CE6537A1-D6FC-4f65-9D91-7224C49458BB}"/>
                <c:ext xmlns:c16="http://schemas.microsoft.com/office/drawing/2014/chart" uri="{C3380CC4-5D6E-409C-BE32-E72D297353CC}">
                  <c16:uniqueId val="{00000018-7524-4066-8FA4-7BA23CCABB9A}"/>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multiLvlStrRef>
              <c:f>'[Chart in Microsoft Word]Data'!$J$19:$S$20</c:f>
              <c:multiLvlStrCache>
                <c:ptCount val="10"/>
                <c:lvl>
                  <c:pt idx="0">
                    <c:v>I</c:v>
                  </c:pt>
                  <c:pt idx="1">
                    <c:v>II</c:v>
                  </c:pt>
                  <c:pt idx="2">
                    <c:v>III</c:v>
                  </c:pt>
                  <c:pt idx="3">
                    <c:v>IV</c:v>
                  </c:pt>
                  <c:pt idx="4">
                    <c:v>I</c:v>
                  </c:pt>
                  <c:pt idx="5">
                    <c:v>II</c:v>
                  </c:pt>
                  <c:pt idx="6">
                    <c:v>III</c:v>
                  </c:pt>
                  <c:pt idx="7">
                    <c:v>IV</c:v>
                  </c:pt>
                  <c:pt idx="8">
                    <c:v>I</c:v>
                  </c:pt>
                  <c:pt idx="9">
                    <c:v>II</c:v>
                  </c:pt>
                </c:lvl>
                <c:lvl>
                  <c:pt idx="0">
                    <c:v>2018</c:v>
                  </c:pt>
                  <c:pt idx="4">
                    <c:v>2019</c:v>
                  </c:pt>
                  <c:pt idx="8">
                    <c:v>2020</c:v>
                  </c:pt>
                </c:lvl>
              </c:multiLvlStrCache>
            </c:multiLvlStrRef>
          </c:cat>
          <c:val>
            <c:numRef>
              <c:f>'[Chart in Microsoft Word]Data'!$J$22:$S$22</c:f>
              <c:numCache>
                <c:formatCode>General</c:formatCode>
                <c:ptCount val="10"/>
                <c:pt idx="0">
                  <c:v>2.5</c:v>
                </c:pt>
                <c:pt idx="1">
                  <c:v>2.2000000000000002</c:v>
                </c:pt>
                <c:pt idx="2">
                  <c:v>1.5</c:v>
                </c:pt>
                <c:pt idx="3">
                  <c:v>1.1000000000000001</c:v>
                </c:pt>
                <c:pt idx="4">
                  <c:v>1.5</c:v>
                </c:pt>
                <c:pt idx="5">
                  <c:v>1.2</c:v>
                </c:pt>
                <c:pt idx="6">
                  <c:v>1.4</c:v>
                </c:pt>
                <c:pt idx="7">
                  <c:v>1</c:v>
                </c:pt>
                <c:pt idx="8">
                  <c:v>-3.2</c:v>
                </c:pt>
                <c:pt idx="9">
                  <c:v>-14.7</c:v>
                </c:pt>
              </c:numCache>
            </c:numRef>
          </c:val>
          <c:smooth val="0"/>
          <c:extLst>
            <c:ext xmlns:c16="http://schemas.microsoft.com/office/drawing/2014/chart" uri="{C3380CC4-5D6E-409C-BE32-E72D297353CC}">
              <c16:uniqueId val="{00000019-7524-4066-8FA4-7BA23CCABB9A}"/>
            </c:ext>
          </c:extLst>
        </c:ser>
        <c:ser>
          <c:idx val="2"/>
          <c:order val="2"/>
          <c:spPr>
            <a:ln w="31750"/>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A-7524-4066-8FA4-7BA23CCABB9A}"/>
                </c:ext>
              </c:extLst>
            </c:dLbl>
            <c:dLbl>
              <c:idx val="1"/>
              <c:delete val="1"/>
              <c:extLst>
                <c:ext xmlns:c15="http://schemas.microsoft.com/office/drawing/2012/chart" uri="{CE6537A1-D6FC-4f65-9D91-7224C49458BB}"/>
                <c:ext xmlns:c16="http://schemas.microsoft.com/office/drawing/2014/chart" uri="{C3380CC4-5D6E-409C-BE32-E72D297353CC}">
                  <c16:uniqueId val="{0000001B-7524-4066-8FA4-7BA23CCABB9A}"/>
                </c:ext>
              </c:extLst>
            </c:dLbl>
            <c:dLbl>
              <c:idx val="2"/>
              <c:delete val="1"/>
              <c:extLst>
                <c:ext xmlns:c15="http://schemas.microsoft.com/office/drawing/2012/chart" uri="{CE6537A1-D6FC-4f65-9D91-7224C49458BB}"/>
                <c:ext xmlns:c16="http://schemas.microsoft.com/office/drawing/2014/chart" uri="{C3380CC4-5D6E-409C-BE32-E72D297353CC}">
                  <c16:uniqueId val="{0000001C-7524-4066-8FA4-7BA23CCABB9A}"/>
                </c:ext>
              </c:extLst>
            </c:dLbl>
            <c:dLbl>
              <c:idx val="3"/>
              <c:delete val="1"/>
              <c:extLst>
                <c:ext xmlns:c15="http://schemas.microsoft.com/office/drawing/2012/chart" uri="{CE6537A1-D6FC-4f65-9D91-7224C49458BB}"/>
                <c:ext xmlns:c16="http://schemas.microsoft.com/office/drawing/2014/chart" uri="{C3380CC4-5D6E-409C-BE32-E72D297353CC}">
                  <c16:uniqueId val="{0000001D-7524-4066-8FA4-7BA23CCABB9A}"/>
                </c:ext>
              </c:extLst>
            </c:dLbl>
            <c:dLbl>
              <c:idx val="4"/>
              <c:layout>
                <c:manualLayout>
                  <c:x val="0.32951562872822732"/>
                  <c:y val="-2.391392692679882E-2"/>
                </c:manualLayout>
              </c:layout>
              <c:tx>
                <c:rich>
                  <a:bodyPr/>
                  <a:lstStyle/>
                  <a:p>
                    <a:pPr>
                      <a:defRPr/>
                    </a:pPr>
                    <a:r>
                      <a:rPr lang="bg-BG" sz="1000" b="1">
                        <a:solidFill>
                          <a:schemeClr val="accent3"/>
                        </a:solidFill>
                      </a:rPr>
                      <a:t>САЩ</a:t>
                    </a:r>
                    <a:endParaRPr lang="bg-BG"/>
                  </a:p>
                </c:rich>
              </c:tx>
              <c:spPr>
                <a:noFill/>
              </c:spPr>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524-4066-8FA4-7BA23CCABB9A}"/>
                </c:ext>
              </c:extLst>
            </c:dLbl>
            <c:dLbl>
              <c:idx val="5"/>
              <c:delete val="1"/>
              <c:extLst>
                <c:ext xmlns:c15="http://schemas.microsoft.com/office/drawing/2012/chart" uri="{CE6537A1-D6FC-4f65-9D91-7224C49458BB}"/>
                <c:ext xmlns:c16="http://schemas.microsoft.com/office/drawing/2014/chart" uri="{C3380CC4-5D6E-409C-BE32-E72D297353CC}">
                  <c16:uniqueId val="{0000001F-7524-4066-8FA4-7BA23CCABB9A}"/>
                </c:ext>
              </c:extLst>
            </c:dLbl>
            <c:dLbl>
              <c:idx val="6"/>
              <c:delete val="1"/>
              <c:extLst>
                <c:ext xmlns:c15="http://schemas.microsoft.com/office/drawing/2012/chart" uri="{CE6537A1-D6FC-4f65-9D91-7224C49458BB}"/>
                <c:ext xmlns:c16="http://schemas.microsoft.com/office/drawing/2014/chart" uri="{C3380CC4-5D6E-409C-BE32-E72D297353CC}">
                  <c16:uniqueId val="{00000020-7524-4066-8FA4-7BA23CCABB9A}"/>
                </c:ext>
              </c:extLst>
            </c:dLbl>
            <c:dLbl>
              <c:idx val="7"/>
              <c:delete val="1"/>
              <c:extLst>
                <c:ext xmlns:c15="http://schemas.microsoft.com/office/drawing/2012/chart" uri="{CE6537A1-D6FC-4f65-9D91-7224C49458BB}"/>
                <c:ext xmlns:c16="http://schemas.microsoft.com/office/drawing/2014/chart" uri="{C3380CC4-5D6E-409C-BE32-E72D297353CC}">
                  <c16:uniqueId val="{00000021-7524-4066-8FA4-7BA23CCABB9A}"/>
                </c:ext>
              </c:extLst>
            </c:dLbl>
            <c:dLbl>
              <c:idx val="8"/>
              <c:delete val="1"/>
              <c:extLst>
                <c:ext xmlns:c15="http://schemas.microsoft.com/office/drawing/2012/chart" uri="{CE6537A1-D6FC-4f65-9D91-7224C49458BB}"/>
                <c:ext xmlns:c16="http://schemas.microsoft.com/office/drawing/2014/chart" uri="{C3380CC4-5D6E-409C-BE32-E72D297353CC}">
                  <c16:uniqueId val="{00000022-7524-4066-8FA4-7BA23CCABB9A}"/>
                </c:ext>
              </c:extLst>
            </c:dLbl>
            <c:dLbl>
              <c:idx val="9"/>
              <c:delete val="1"/>
              <c:extLst>
                <c:ext xmlns:c15="http://schemas.microsoft.com/office/drawing/2012/chart" uri="{CE6537A1-D6FC-4f65-9D91-7224C49458BB}"/>
                <c:ext xmlns:c16="http://schemas.microsoft.com/office/drawing/2014/chart" uri="{C3380CC4-5D6E-409C-BE32-E72D297353CC}">
                  <c16:uniqueId val="{00000023-7524-4066-8FA4-7BA23CCABB9A}"/>
                </c:ext>
              </c:extLst>
            </c:dLbl>
            <c:dLbl>
              <c:idx val="10"/>
              <c:delete val="1"/>
              <c:extLst>
                <c:ext xmlns:c15="http://schemas.microsoft.com/office/drawing/2012/chart" uri="{CE6537A1-D6FC-4f65-9D91-7224C49458BB}"/>
                <c:ext xmlns:c16="http://schemas.microsoft.com/office/drawing/2014/chart" uri="{C3380CC4-5D6E-409C-BE32-E72D297353CC}">
                  <c16:uniqueId val="{00000024-7524-4066-8FA4-7BA23CCABB9A}"/>
                </c:ext>
              </c:extLst>
            </c:dLbl>
            <c:dLbl>
              <c:idx val="11"/>
              <c:delete val="1"/>
              <c:extLst>
                <c:ext xmlns:c15="http://schemas.microsoft.com/office/drawing/2012/chart" uri="{CE6537A1-D6FC-4f65-9D91-7224C49458BB}"/>
                <c:ext xmlns:c16="http://schemas.microsoft.com/office/drawing/2014/chart" uri="{C3380CC4-5D6E-409C-BE32-E72D297353CC}">
                  <c16:uniqueId val="{00000025-7524-4066-8FA4-7BA23CCABB9A}"/>
                </c:ext>
              </c:extLst>
            </c:dLbl>
            <c:spPr>
              <a:noFill/>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multiLvlStrRef>
              <c:f>'[Chart in Microsoft Word]Data'!$J$19:$S$20</c:f>
              <c:multiLvlStrCache>
                <c:ptCount val="10"/>
                <c:lvl>
                  <c:pt idx="0">
                    <c:v>I</c:v>
                  </c:pt>
                  <c:pt idx="1">
                    <c:v>II</c:v>
                  </c:pt>
                  <c:pt idx="2">
                    <c:v>III</c:v>
                  </c:pt>
                  <c:pt idx="3">
                    <c:v>IV</c:v>
                  </c:pt>
                  <c:pt idx="4">
                    <c:v>I</c:v>
                  </c:pt>
                  <c:pt idx="5">
                    <c:v>II</c:v>
                  </c:pt>
                  <c:pt idx="6">
                    <c:v>III</c:v>
                  </c:pt>
                  <c:pt idx="7">
                    <c:v>IV</c:v>
                  </c:pt>
                  <c:pt idx="8">
                    <c:v>I</c:v>
                  </c:pt>
                  <c:pt idx="9">
                    <c:v>II</c:v>
                  </c:pt>
                </c:lvl>
                <c:lvl>
                  <c:pt idx="0">
                    <c:v>2018</c:v>
                  </c:pt>
                  <c:pt idx="4">
                    <c:v>2019</c:v>
                  </c:pt>
                  <c:pt idx="8">
                    <c:v>2020</c:v>
                  </c:pt>
                </c:lvl>
              </c:multiLvlStrCache>
            </c:multiLvlStrRef>
          </c:cat>
          <c:val>
            <c:numRef>
              <c:f>'[Chart in Microsoft Word]Data'!$J$23:$S$23</c:f>
              <c:numCache>
                <c:formatCode>General</c:formatCode>
                <c:ptCount val="10"/>
                <c:pt idx="0">
                  <c:v>3.0772140421531602</c:v>
                </c:pt>
                <c:pt idx="1">
                  <c:v>3.3250065082169882</c:v>
                </c:pt>
                <c:pt idx="2">
                  <c:v>3.1167517156431597</c:v>
                </c:pt>
                <c:pt idx="3">
                  <c:v>2.4755710970946865</c:v>
                </c:pt>
                <c:pt idx="4">
                  <c:v>2.2654542510995412</c:v>
                </c:pt>
                <c:pt idx="5">
                  <c:v>1.9630757354833155</c:v>
                </c:pt>
                <c:pt idx="6">
                  <c:v>2.0760009385465139</c:v>
                </c:pt>
                <c:pt idx="7">
                  <c:v>2.3392279112783569</c:v>
                </c:pt>
                <c:pt idx="8">
                  <c:v>0.31925615953309716</c:v>
                </c:pt>
                <c:pt idx="9">
                  <c:v>-9.032838080817621</c:v>
                </c:pt>
              </c:numCache>
            </c:numRef>
          </c:val>
          <c:smooth val="0"/>
          <c:extLst>
            <c:ext xmlns:c16="http://schemas.microsoft.com/office/drawing/2014/chart" uri="{C3380CC4-5D6E-409C-BE32-E72D297353CC}">
              <c16:uniqueId val="{00000026-7524-4066-8FA4-7BA23CCABB9A}"/>
            </c:ext>
          </c:extLst>
        </c:ser>
        <c:dLbls>
          <c:showLegendKey val="0"/>
          <c:showVal val="0"/>
          <c:showCatName val="0"/>
          <c:showSerName val="0"/>
          <c:showPercent val="0"/>
          <c:showBubbleSize val="0"/>
        </c:dLbls>
        <c:smooth val="0"/>
        <c:axId val="104700416"/>
        <c:axId val="104339072"/>
      </c:lineChart>
      <c:catAx>
        <c:axId val="104700416"/>
        <c:scaling>
          <c:orientation val="minMax"/>
        </c:scaling>
        <c:delete val="0"/>
        <c:axPos val="b"/>
        <c:numFmt formatCode="General" sourceLinked="1"/>
        <c:majorTickMark val="out"/>
        <c:minorTickMark val="none"/>
        <c:tickLblPos val="low"/>
        <c:txPr>
          <a:bodyPr rot="0" vert="horz"/>
          <a:lstStyle/>
          <a:p>
            <a:pPr>
              <a:defRPr sz="800">
                <a:latin typeface="Times New Roman" panose="02020603050405020304" pitchFamily="18" charset="0"/>
                <a:cs typeface="Times New Roman" panose="02020603050405020304" pitchFamily="18" charset="0"/>
              </a:defRPr>
            </a:pPr>
            <a:endParaRPr lang="bg-BG"/>
          </a:p>
        </c:txPr>
        <c:crossAx val="104339072"/>
        <c:crosses val="autoZero"/>
        <c:auto val="1"/>
        <c:lblAlgn val="ctr"/>
        <c:lblOffset val="100"/>
        <c:tickLblSkip val="1"/>
        <c:tickMarkSkip val="1"/>
        <c:noMultiLvlLbl val="0"/>
      </c:catAx>
      <c:valAx>
        <c:axId val="104339072"/>
        <c:scaling>
          <c:orientation val="minMax"/>
          <c:max val="4"/>
        </c:scaling>
        <c:delete val="0"/>
        <c:axPos val="l"/>
        <c:numFmt formatCode="#\ ##0" sourceLinked="0"/>
        <c:majorTickMark val="out"/>
        <c:minorTickMark val="none"/>
        <c:tickLblPos val="nextTo"/>
        <c:txPr>
          <a:bodyPr rot="0" vert="horz"/>
          <a:lstStyle/>
          <a:p>
            <a:pPr>
              <a:defRPr sz="800">
                <a:latin typeface="Times New Roman" panose="02020603050405020304" pitchFamily="18" charset="0"/>
                <a:cs typeface="Times New Roman" panose="02020603050405020304" pitchFamily="18" charset="0"/>
              </a:defRPr>
            </a:pPr>
            <a:endParaRPr lang="bg-BG"/>
          </a:p>
        </c:txPr>
        <c:crossAx val="104700416"/>
        <c:crosses val="autoZero"/>
        <c:crossBetween val="between"/>
        <c:majorUnit val="4"/>
      </c:valAx>
    </c:plotArea>
    <c:plotVisOnly val="1"/>
    <c:dispBlanksAs val="gap"/>
    <c:showDLblsOverMax val="0"/>
  </c:chart>
  <c:txPr>
    <a:bodyPr/>
    <a:lstStyle/>
    <a:p>
      <a:pPr>
        <a:defRPr sz="1000">
          <a:latin typeface="Verdana" pitchFamily="34" charset="0"/>
        </a:defRPr>
      </a:pPr>
      <a:endParaRPr lang="bg-B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blank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D0AA-DDB1-47A7-8987-E4B485FA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21454</Words>
  <Characters>126646</Characters>
  <Application>Microsoft Office Word</Application>
  <DocSecurity>0</DocSecurity>
  <Lines>1055</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2021-02-10T09:29:00Z</dcterms:created>
  <dcterms:modified xsi:type="dcterms:W3CDTF">2021-02-12T15:45:00Z</dcterms:modified>
</cp:coreProperties>
</file>